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default" w:ascii="仿宋_GB2312" w:hAnsi="微软雅黑" w:eastAsia="仿宋_GB2312" w:cs="仿宋_GB2312"/>
          <w:color w:val="333333"/>
          <w:kern w:val="0"/>
          <w:sz w:val="28"/>
          <w:szCs w:val="28"/>
          <w:lang w:eastAsia="zh-CN" w:bidi="ar"/>
        </w:rPr>
        <w:t>附件：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1440"/>
        <w:gridCol w:w="1140"/>
        <w:gridCol w:w="3855"/>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522" w:type="dxa"/>
            <w:gridSpan w:val="5"/>
            <w:noWrap w:val="0"/>
            <w:vAlign w:val="top"/>
          </w:tcPr>
          <w:p>
            <w:pPr>
              <w:jc w:val="center"/>
              <w:rPr>
                <w:rFonts w:hint="eastAsia"/>
                <w:color w:val="auto"/>
                <w:vertAlign w:val="baseline"/>
                <w:lang w:eastAsia="zh-CN"/>
              </w:rPr>
            </w:pPr>
          </w:p>
          <w:p>
            <w:pPr>
              <w:jc w:val="center"/>
              <w:rPr>
                <w:rFonts w:hint="eastAsia" w:eastAsia="宋体"/>
                <w:color w:val="auto"/>
                <w:vertAlign w:val="baseline"/>
                <w:lang w:eastAsia="zh-CN"/>
              </w:rPr>
            </w:pPr>
            <w:r>
              <w:rPr>
                <w:rFonts w:hint="eastAsia" w:ascii="仿宋" w:hAnsi="仿宋" w:eastAsia="仿宋" w:cs="仿宋"/>
                <w:color w:val="auto"/>
                <w:sz w:val="28"/>
                <w:szCs w:val="28"/>
                <w:vertAlign w:val="baseline"/>
                <w:lang w:val="en-US" w:eastAsia="zh-CN"/>
              </w:rPr>
              <w:t>黄石市国有产经营有限公司2021-2023年中介机构（律师事务所类）入库遴选</w:t>
            </w:r>
            <w:r>
              <w:rPr>
                <w:rFonts w:hint="eastAsia" w:ascii="仿宋" w:hAnsi="仿宋" w:eastAsia="仿宋" w:cs="仿宋"/>
                <w:color w:val="auto"/>
                <w:sz w:val="28"/>
                <w:szCs w:val="28"/>
                <w:vertAlign w:val="baseline"/>
                <w:lang w:eastAsia="zh-CN"/>
              </w:rPr>
              <w:t>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4" w:type="dxa"/>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评分内容</w:t>
            </w:r>
          </w:p>
        </w:tc>
        <w:tc>
          <w:tcPr>
            <w:tcW w:w="1440" w:type="dxa"/>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评分项</w:t>
            </w:r>
          </w:p>
        </w:tc>
        <w:tc>
          <w:tcPr>
            <w:tcW w:w="1140" w:type="dxa"/>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分数</w:t>
            </w:r>
          </w:p>
        </w:tc>
        <w:tc>
          <w:tcPr>
            <w:tcW w:w="3855" w:type="dxa"/>
            <w:noWrap w:val="0"/>
            <w:vAlign w:val="top"/>
          </w:tcPr>
          <w:p>
            <w:pPr>
              <w:jc w:val="center"/>
              <w:rPr>
                <w:rFonts w:hint="eastAsia"/>
                <w:color w:val="auto"/>
                <w:vertAlign w:val="baseline"/>
                <w:lang w:eastAsia="zh-CN"/>
              </w:rPr>
            </w:pPr>
          </w:p>
          <w:p>
            <w:pPr>
              <w:jc w:val="center"/>
              <w:rPr>
                <w:rFonts w:hint="eastAsia" w:eastAsia="宋体"/>
                <w:color w:val="auto"/>
                <w:vertAlign w:val="baseline"/>
                <w:lang w:eastAsia="zh-CN"/>
              </w:rPr>
            </w:pPr>
            <w:r>
              <w:rPr>
                <w:rFonts w:hint="eastAsia" w:ascii="仿宋" w:hAnsi="仿宋" w:eastAsia="仿宋" w:cs="仿宋"/>
                <w:color w:val="auto"/>
                <w:sz w:val="24"/>
                <w:szCs w:val="24"/>
                <w:vertAlign w:val="baseline"/>
                <w:lang w:eastAsia="zh-CN"/>
              </w:rPr>
              <w:t>评分标准</w:t>
            </w:r>
          </w:p>
        </w:tc>
        <w:tc>
          <w:tcPr>
            <w:tcW w:w="683" w:type="dxa"/>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1404" w:type="dxa"/>
            <w:vMerge w:val="restart"/>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综合部分</w:t>
            </w:r>
          </w:p>
        </w:tc>
        <w:tc>
          <w:tcPr>
            <w:tcW w:w="1440" w:type="dxa"/>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律所实力与业绩</w:t>
            </w:r>
          </w:p>
        </w:tc>
        <w:tc>
          <w:tcPr>
            <w:tcW w:w="1140" w:type="dxa"/>
            <w:noWrap w:val="0"/>
            <w:vAlign w:val="top"/>
          </w:tcPr>
          <w:p>
            <w:pPr>
              <w:rPr>
                <w:rFonts w:hint="eastAsia" w:ascii="仿宋" w:hAnsi="仿宋" w:eastAsia="仿宋" w:cs="仿宋"/>
                <w:color w:val="auto"/>
                <w:sz w:val="24"/>
                <w:szCs w:val="24"/>
                <w:vertAlign w:val="baseline"/>
                <w:lang w:val="en-US" w:eastAsia="zh-CN"/>
              </w:rPr>
            </w:pPr>
          </w:p>
          <w:p>
            <w:pPr>
              <w:rPr>
                <w:rFonts w:hint="eastAsia" w:ascii="仿宋" w:hAnsi="仿宋" w:eastAsia="仿宋" w:cs="仿宋"/>
                <w:color w:val="auto"/>
                <w:sz w:val="24"/>
                <w:szCs w:val="24"/>
                <w:vertAlign w:val="baseline"/>
                <w:lang w:val="en-US" w:eastAsia="zh-CN"/>
              </w:rPr>
            </w:pPr>
          </w:p>
          <w:p>
            <w:pPr>
              <w:rPr>
                <w:rFonts w:hint="eastAsia" w:ascii="仿宋" w:hAnsi="仿宋" w:eastAsia="仿宋" w:cs="仿宋"/>
                <w:color w:val="auto"/>
                <w:sz w:val="24"/>
                <w:szCs w:val="24"/>
                <w:vertAlign w:val="baseline"/>
                <w:lang w:val="en-US" w:eastAsia="zh-CN"/>
              </w:rPr>
            </w:pPr>
          </w:p>
          <w:p>
            <w:pP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w:t>
            </w:r>
            <w:bookmarkStart w:id="0" w:name="_GoBack"/>
            <w:bookmarkEnd w:id="0"/>
          </w:p>
        </w:tc>
        <w:tc>
          <w:tcPr>
            <w:tcW w:w="385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1.律所业绩：近三年（2018年10月至投标截止日）担任国有企业、政府机关、金融机构或者大型民营企业的法律顾问律所的业绩证明文件</w:t>
            </w:r>
            <w:r>
              <w:rPr>
                <w:rFonts w:hint="eastAsia" w:ascii="仿宋" w:hAnsi="仿宋" w:eastAsia="仿宋" w:cs="仿宋"/>
                <w:color w:val="auto"/>
                <w:sz w:val="24"/>
                <w:szCs w:val="24"/>
                <w:highlight w:val="none"/>
                <w:lang w:val="en-US" w:eastAsia="zh-CN"/>
              </w:rPr>
              <w:t>至少2个</w:t>
            </w:r>
            <w:r>
              <w:rPr>
                <w:rFonts w:hint="eastAsia" w:ascii="仿宋" w:hAnsi="仿宋" w:eastAsia="仿宋" w:cs="仿宋"/>
                <w:color w:val="auto"/>
                <w:sz w:val="24"/>
                <w:szCs w:val="24"/>
                <w:lang w:val="en-US" w:eastAsia="zh-CN"/>
              </w:rPr>
              <w:t>（每多提供一个业绩得5分，上限15分）。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2.律所实力：律所专职律师不少于</w:t>
            </w:r>
            <w:r>
              <w:rPr>
                <w:rFonts w:hint="eastAsia" w:ascii="仿宋" w:hAnsi="仿宋" w:eastAsia="仿宋" w:cs="仿宋"/>
                <w:color w:val="auto"/>
                <w:sz w:val="24"/>
                <w:szCs w:val="24"/>
                <w:highlight w:val="none"/>
                <w:lang w:val="en-US" w:eastAsia="zh-CN"/>
              </w:rPr>
              <w:t>10人</w:t>
            </w:r>
            <w:r>
              <w:rPr>
                <w:rFonts w:hint="eastAsia" w:ascii="仿宋" w:hAnsi="仿宋" w:eastAsia="仿宋" w:cs="仿宋"/>
                <w:color w:val="auto"/>
                <w:sz w:val="24"/>
                <w:szCs w:val="24"/>
                <w:lang w:val="en-US" w:eastAsia="zh-CN"/>
              </w:rPr>
              <w:t>，其中五年以上执业律师的人数不少于3人（5年以上执业律师每多一人得5分，上限10分）。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3.荣誉</w:t>
            </w:r>
            <w:r>
              <w:rPr>
                <w:rFonts w:hint="eastAsia" w:ascii="仿宋" w:hAnsi="仿宋" w:eastAsia="仿宋" w:cs="仿宋"/>
                <w:color w:val="auto"/>
                <w:sz w:val="24"/>
                <w:szCs w:val="24"/>
                <w:lang w:val="en-US" w:eastAsia="zh-CN"/>
              </w:rPr>
              <w:t>：律所每获得一个荣誉，得5分，上限10分。</w:t>
            </w:r>
            <w:r>
              <w:rPr>
                <w:rFonts w:hint="eastAsia" w:ascii="仿宋" w:hAnsi="仿宋" w:eastAsia="仿宋" w:cs="仿宋"/>
                <w:color w:val="auto"/>
                <w:sz w:val="24"/>
                <w:szCs w:val="24"/>
                <w:highlight w:val="none"/>
                <w:lang w:val="en-US" w:eastAsia="zh-CN"/>
              </w:rPr>
              <w:t>（需市级及以上机关颁发，其他机构颁发不得分）。</w:t>
            </w:r>
          </w:p>
        </w:tc>
        <w:tc>
          <w:tcPr>
            <w:tcW w:w="683" w:type="dxa"/>
            <w:noWrap w:val="0"/>
            <w:vAlign w:val="top"/>
          </w:tcPr>
          <w:p>
            <w:pP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04" w:type="dxa"/>
            <w:vMerge w:val="continue"/>
            <w:noWrap w:val="0"/>
            <w:vAlign w:val="top"/>
          </w:tcPr>
          <w:p>
            <w:pPr>
              <w:rPr>
                <w:rFonts w:hint="eastAsia" w:ascii="仿宋" w:hAnsi="仿宋" w:eastAsia="仿宋" w:cs="仿宋"/>
                <w:color w:val="auto"/>
                <w:sz w:val="24"/>
                <w:szCs w:val="24"/>
                <w:vertAlign w:val="baseline"/>
              </w:rPr>
            </w:pPr>
          </w:p>
        </w:tc>
        <w:tc>
          <w:tcPr>
            <w:tcW w:w="1440" w:type="dxa"/>
            <w:noWrap w:val="0"/>
            <w:vAlign w:val="top"/>
          </w:tcPr>
          <w:p>
            <w:pPr>
              <w:jc w:val="center"/>
              <w:rPr>
                <w:rFonts w:hint="eastAsia" w:ascii="仿宋" w:hAnsi="仿宋" w:eastAsia="仿宋" w:cs="仿宋"/>
                <w:color w:val="auto"/>
                <w:sz w:val="24"/>
                <w:szCs w:val="24"/>
                <w:vertAlign w:val="baseline"/>
                <w:lang w:eastAsia="zh-CN"/>
              </w:rPr>
            </w:pPr>
          </w:p>
          <w:p>
            <w:pPr>
              <w:jc w:val="both"/>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派出律师实力</w:t>
            </w:r>
          </w:p>
        </w:tc>
        <w:tc>
          <w:tcPr>
            <w:tcW w:w="1140" w:type="dxa"/>
            <w:noWrap w:val="0"/>
            <w:vAlign w:val="top"/>
          </w:tcPr>
          <w:p>
            <w:pPr>
              <w:jc w:val="center"/>
              <w:rPr>
                <w:rFonts w:hint="eastAsia" w:ascii="仿宋" w:hAnsi="仿宋" w:eastAsia="仿宋" w:cs="仿宋"/>
                <w:color w:val="auto"/>
                <w:sz w:val="24"/>
                <w:szCs w:val="24"/>
                <w:vertAlign w:val="baseline"/>
                <w:lang w:val="en-US" w:eastAsia="zh-CN"/>
              </w:rPr>
            </w:pPr>
          </w:p>
          <w:p>
            <w:pPr>
              <w:jc w:val="both"/>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w:t>
            </w:r>
          </w:p>
        </w:tc>
        <w:tc>
          <w:tcPr>
            <w:tcW w:w="3855" w:type="dxa"/>
            <w:noWrap w:val="0"/>
            <w:vAlign w:val="top"/>
          </w:tcPr>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人数：至少派出2名律师，每多派一名得5分，上限10分。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2.业绩：</w:t>
            </w:r>
            <w:r>
              <w:rPr>
                <w:rFonts w:hint="eastAsia" w:ascii="仿宋" w:hAnsi="仿宋" w:eastAsia="仿宋" w:cs="仿宋"/>
                <w:color w:val="auto"/>
                <w:sz w:val="24"/>
                <w:szCs w:val="24"/>
                <w:lang w:val="en-US" w:eastAsia="zh-CN"/>
              </w:rPr>
              <w:t>派出律师必须有近三年为国有企业、政府机关、金融机构或者大型民营企业提供法律顾问服务的经历（至少提供两个业绩）（以上业绩每多提供一个，得5分，上限20分）；</w:t>
            </w:r>
            <w:r>
              <w:rPr>
                <w:rFonts w:hint="eastAsia" w:ascii="仿宋" w:hAnsi="仿宋" w:eastAsia="仿宋" w:cs="仿宋"/>
                <w:color w:val="auto"/>
                <w:sz w:val="24"/>
                <w:szCs w:val="24"/>
                <w:highlight w:val="none"/>
                <w:lang w:val="en-US" w:eastAsia="zh-CN"/>
              </w:rPr>
              <w:t>派出律师每提供一份主体为公司的胜诉判决书复印件，</w:t>
            </w:r>
            <w:r>
              <w:rPr>
                <w:rFonts w:hint="eastAsia" w:ascii="仿宋" w:hAnsi="仿宋" w:eastAsia="仿宋" w:cs="仿宋"/>
                <w:color w:val="auto"/>
                <w:sz w:val="24"/>
                <w:szCs w:val="24"/>
                <w:lang w:val="en-US" w:eastAsia="zh-CN"/>
              </w:rPr>
              <w:t>得1分，上限5分。</w:t>
            </w:r>
          </w:p>
        </w:tc>
        <w:tc>
          <w:tcPr>
            <w:tcW w:w="683" w:type="dxa"/>
            <w:noWrap w:val="0"/>
            <w:vAlign w:val="top"/>
          </w:tcPr>
          <w:p>
            <w:pP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404" w:type="dxa"/>
            <w:vMerge w:val="continue"/>
            <w:noWrap w:val="0"/>
            <w:vAlign w:val="top"/>
          </w:tcPr>
          <w:p>
            <w:pPr>
              <w:rPr>
                <w:rFonts w:hint="eastAsia" w:ascii="仿宋" w:hAnsi="仿宋" w:eastAsia="仿宋" w:cs="仿宋"/>
                <w:color w:val="auto"/>
                <w:sz w:val="24"/>
                <w:szCs w:val="24"/>
                <w:vertAlign w:val="baseline"/>
              </w:rPr>
            </w:pPr>
          </w:p>
        </w:tc>
        <w:tc>
          <w:tcPr>
            <w:tcW w:w="1440" w:type="dxa"/>
            <w:noWrap w:val="0"/>
            <w:vAlign w:val="top"/>
          </w:tcPr>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both"/>
              <w:rPr>
                <w:rFonts w:hint="eastAsia" w:ascii="仿宋" w:hAnsi="仿宋" w:eastAsia="仿宋" w:cs="仿宋"/>
                <w:color w:val="auto"/>
                <w:sz w:val="24"/>
                <w:szCs w:val="24"/>
                <w:vertAlign w:val="baseline"/>
                <w:lang w:eastAsia="zh-CN"/>
              </w:rPr>
            </w:pPr>
          </w:p>
          <w:p>
            <w:pPr>
              <w:jc w:val="both"/>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承诺部分</w:t>
            </w:r>
          </w:p>
        </w:tc>
        <w:tc>
          <w:tcPr>
            <w:tcW w:w="1140" w:type="dxa"/>
            <w:noWrap w:val="0"/>
            <w:vAlign w:val="top"/>
          </w:tcPr>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3855" w:type="dxa"/>
            <w:noWrap w:val="0"/>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jc w:val="both"/>
              <w:textAlignment w:val="auto"/>
              <w:rPr>
                <w:rFonts w:hint="eastAsia" w:ascii="仿宋" w:hAnsi="仿宋" w:eastAsia="仿宋" w:cs="仿宋"/>
                <w:color w:val="auto"/>
                <w:sz w:val="24"/>
                <w:szCs w:val="24"/>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1.承诺在承办具体业务的过程中24小时内响应业主要求的得5分，否则不得分。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jc w:val="both"/>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2.承诺在承办具体的业务的过程中业主可根据实际情况选择律所内任一律师的得5分，否则不得分。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color w:val="auto"/>
                <w:vertAlign w:val="baseline"/>
              </w:rPr>
            </w:pPr>
          </w:p>
        </w:tc>
        <w:tc>
          <w:tcPr>
            <w:tcW w:w="683" w:type="dxa"/>
            <w:noWrap w:val="0"/>
            <w:vAlign w:val="top"/>
          </w:tcPr>
          <w:p>
            <w:pP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trPr>
        <w:tc>
          <w:tcPr>
            <w:tcW w:w="1404" w:type="dxa"/>
            <w:noWrap w:val="0"/>
            <w:vAlign w:val="top"/>
          </w:tcPr>
          <w:p>
            <w:pPr>
              <w:rPr>
                <w:rFonts w:hint="eastAsia" w:ascii="仿宋" w:hAnsi="仿宋" w:eastAsia="仿宋" w:cs="仿宋"/>
                <w:color w:val="auto"/>
                <w:sz w:val="24"/>
                <w:szCs w:val="24"/>
                <w:vertAlign w:val="baseline"/>
              </w:rPr>
            </w:pPr>
          </w:p>
        </w:tc>
        <w:tc>
          <w:tcPr>
            <w:tcW w:w="1440" w:type="dxa"/>
            <w:noWrap w:val="0"/>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 xml:space="preserve"> </w:t>
            </w: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 xml:space="preserve">                                 </w:t>
            </w:r>
            <w:r>
              <w:rPr>
                <w:rFonts w:hint="eastAsia" w:ascii="仿宋" w:hAnsi="仿宋" w:eastAsia="仿宋" w:cs="仿宋"/>
                <w:color w:val="auto"/>
                <w:sz w:val="24"/>
                <w:szCs w:val="24"/>
                <w:vertAlign w:val="baseline"/>
                <w:lang w:eastAsia="zh-CN"/>
              </w:rPr>
              <w:t>服务方案</w:t>
            </w:r>
          </w:p>
        </w:tc>
        <w:tc>
          <w:tcPr>
            <w:tcW w:w="1140" w:type="dxa"/>
            <w:noWrap w:val="0"/>
            <w:vAlign w:val="top"/>
          </w:tcPr>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jc w:val="center"/>
              <w:rPr>
                <w:rFonts w:hint="eastAsia" w:ascii="仿宋" w:hAnsi="仿宋" w:eastAsia="仿宋" w:cs="仿宋"/>
                <w:color w:val="auto"/>
                <w:sz w:val="24"/>
                <w:szCs w:val="24"/>
                <w:vertAlign w:val="baseline"/>
                <w:lang w:val="en-US" w:eastAsia="zh-CN"/>
              </w:rPr>
            </w:pPr>
          </w:p>
          <w:p>
            <w:pPr>
              <w:ind w:firstLine="240" w:firstLineChars="100"/>
              <w:jc w:val="both"/>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c>
          <w:tcPr>
            <w:tcW w:w="385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1.服务方案详细，针对性强，内容具体，提出的各项措施可操作性强，在 14-20分范围内打分。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2.服务方案较详细，针对性较强，内容基本完整，提出的各项措施基本可操作，在6-13分范围内打分。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3.服务方案不详细，针对性不强，内容不完整，提出的各项措施不具备可操作性，在0-5分范围内打分。</w:t>
            </w:r>
          </w:p>
        </w:tc>
        <w:tc>
          <w:tcPr>
            <w:tcW w:w="683" w:type="dxa"/>
            <w:noWrap w:val="0"/>
            <w:vAlign w:val="top"/>
          </w:tcPr>
          <w:p>
            <w:pPr>
              <w:rPr>
                <w:rFonts w:hint="eastAsia" w:ascii="仿宋" w:hAnsi="仿宋" w:eastAsia="仿宋" w:cs="仿宋"/>
                <w:color w:val="auto"/>
                <w:sz w:val="24"/>
                <w:szCs w:val="24"/>
                <w:vertAlign w:val="baseline"/>
              </w:rPr>
            </w:pPr>
          </w:p>
        </w:tc>
      </w:tr>
    </w:tbl>
    <w:p/>
    <w:p>
      <w:pPr>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6A713"/>
    <w:multiLevelType w:val="singleLevel"/>
    <w:tmpl w:val="5036A71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0471F"/>
    <w:rsid w:val="0E10471F"/>
    <w:rsid w:val="14C040DB"/>
    <w:rsid w:val="26BB43FD"/>
    <w:rsid w:val="62EE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2021-10-15T02:32:00Z</dcterms:created>
  <dc:creator>Administrator</dc:creator>
  <cp:lastModifiedBy>Administrator</cp:lastModifiedBy>
  <dcterms:modified xsi:type="dcterms:W3CDTF">2021-10-20T02:49:31Z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C0F2FBC8B5DD471F927799C2B79D5C06</vt:lpwstr>
  </property>
</Properties>
</file>