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outlineLvl w:val="1"/>
        <w:rPr>
          <w:rFonts w:ascii="黑体" w:hAnsi="黑体" w:eastAsia="宋体" w:cs="宋体"/>
          <w:color w:val="auto"/>
          <w:kern w:val="0"/>
          <w:sz w:val="42"/>
          <w:szCs w:val="42"/>
          <w:highlight w:val="none"/>
        </w:rPr>
      </w:pPr>
    </w:p>
    <w:p>
      <w:pPr>
        <w:pStyle w:val="4"/>
        <w:rPr>
          <w:color w:val="auto"/>
          <w:highlight w:val="none"/>
        </w:rPr>
      </w:pPr>
    </w:p>
    <w:p>
      <w:pPr>
        <w:spacing w:line="600" w:lineRule="auto"/>
        <w:jc w:val="center"/>
        <w:rPr>
          <w:rFonts w:hint="eastAsia" w:ascii="宋体" w:hAnsi="宋体" w:eastAsia="宋体" w:cs="宋体"/>
          <w:b/>
          <w:color w:val="auto"/>
          <w:sz w:val="40"/>
          <w:szCs w:val="84"/>
          <w:highlight w:val="none"/>
          <w:lang w:eastAsia="zh-CN"/>
        </w:rPr>
      </w:pPr>
      <w:r>
        <w:rPr>
          <w:rFonts w:hint="eastAsia" w:ascii="宋体" w:hAnsi="宋体" w:eastAsia="宋体" w:cs="宋体"/>
          <w:b/>
          <w:color w:val="auto"/>
          <w:sz w:val="40"/>
          <w:szCs w:val="84"/>
          <w:highlight w:val="none"/>
          <w:lang w:eastAsia="zh-CN"/>
        </w:rPr>
        <w:t>关于湖北联新显示科技有限公司二期出资项目资产评估机构公开遴选服务</w:t>
      </w:r>
    </w:p>
    <w:p>
      <w:pPr>
        <w:spacing w:line="600" w:lineRule="auto"/>
        <w:jc w:val="center"/>
        <w:rPr>
          <w:rFonts w:ascii="宋体" w:hAnsi="宋体" w:eastAsia="宋体" w:cs="宋体"/>
          <w:b/>
          <w:color w:val="auto"/>
          <w:sz w:val="96"/>
          <w:szCs w:val="84"/>
          <w:highlight w:val="none"/>
        </w:rPr>
      </w:pPr>
      <w:r>
        <w:rPr>
          <w:rFonts w:hint="eastAsia" w:ascii="宋体" w:hAnsi="宋体" w:eastAsia="宋体" w:cs="宋体"/>
          <w:b/>
          <w:color w:val="auto"/>
          <w:sz w:val="96"/>
          <w:szCs w:val="84"/>
          <w:highlight w:val="none"/>
        </w:rPr>
        <w:t>遴选文件</w:t>
      </w: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pStyle w:val="4"/>
        <w:rPr>
          <w:rFonts w:ascii="黑体" w:hAnsi="黑体" w:eastAsia="宋体" w:cs="宋体"/>
          <w:color w:val="auto"/>
          <w:sz w:val="42"/>
          <w:szCs w:val="42"/>
          <w:highlight w:val="none"/>
        </w:rPr>
      </w:pPr>
    </w:p>
    <w:p>
      <w:pPr>
        <w:pStyle w:val="4"/>
        <w:rPr>
          <w:rFonts w:ascii="黑体" w:hAnsi="黑体" w:eastAsia="宋体" w:cs="宋体"/>
          <w:color w:val="auto"/>
          <w:sz w:val="42"/>
          <w:szCs w:val="42"/>
          <w:highlight w:val="none"/>
        </w:rPr>
      </w:pPr>
    </w:p>
    <w:p>
      <w:pPr>
        <w:pStyle w:val="4"/>
        <w:rPr>
          <w:rFonts w:ascii="黑体" w:hAnsi="黑体" w:eastAsia="宋体" w:cs="宋体"/>
          <w:color w:val="auto"/>
          <w:sz w:val="42"/>
          <w:szCs w:val="42"/>
          <w:highlight w:val="none"/>
        </w:rPr>
      </w:pPr>
    </w:p>
    <w:p>
      <w:pPr>
        <w:pStyle w:val="4"/>
        <w:rPr>
          <w:rFonts w:ascii="黑体" w:hAnsi="黑体" w:eastAsia="宋体" w:cs="宋体"/>
          <w:color w:val="auto"/>
          <w:sz w:val="42"/>
          <w:szCs w:val="42"/>
          <w:highlight w:val="none"/>
        </w:rPr>
      </w:pPr>
    </w:p>
    <w:p>
      <w:pPr>
        <w:spacing w:line="600" w:lineRule="auto"/>
        <w:rPr>
          <w:rFonts w:ascii="宋体" w:hAnsi="宋体"/>
          <w:b/>
          <w:color w:val="auto"/>
          <w:sz w:val="32"/>
          <w:highlight w:val="none"/>
        </w:rPr>
      </w:pPr>
      <w:r>
        <w:rPr>
          <w:rFonts w:hint="eastAsia" w:ascii="宋体" w:hAnsi="宋体"/>
          <w:b/>
          <w:color w:val="auto"/>
          <w:sz w:val="32"/>
          <w:highlight w:val="none"/>
        </w:rPr>
        <w:t xml:space="preserve">                         </w:t>
      </w:r>
    </w:p>
    <w:p>
      <w:pPr>
        <w:spacing w:line="600" w:lineRule="auto"/>
        <w:rPr>
          <w:rFonts w:ascii="宋体" w:hAnsi="宋体"/>
          <w:b/>
          <w:color w:val="auto"/>
          <w:sz w:val="32"/>
          <w:highlight w:val="none"/>
        </w:rPr>
      </w:pPr>
      <w:r>
        <w:rPr>
          <w:rFonts w:hint="eastAsia" w:ascii="宋体" w:hAnsi="宋体"/>
          <w:b/>
          <w:color w:val="auto"/>
          <w:sz w:val="32"/>
          <w:highlight w:val="none"/>
        </w:rPr>
        <w:t xml:space="preserve">                                              </w:t>
      </w:r>
    </w:p>
    <w:p>
      <w:pPr>
        <w:spacing w:line="600" w:lineRule="auto"/>
        <w:ind w:firstLine="157" w:firstLineChars="49"/>
        <w:rPr>
          <w:rFonts w:hint="eastAsia" w:ascii="宋体" w:hAnsi="宋体" w:eastAsiaTheme="minorEastAsia"/>
          <w:b/>
          <w:color w:val="auto"/>
          <w:sz w:val="32"/>
          <w:highlight w:val="none"/>
          <w:lang w:eastAsia="zh-CN"/>
        </w:rPr>
      </w:pPr>
      <w:r>
        <w:rPr>
          <w:rFonts w:hint="eastAsia" w:ascii="宋体" w:hAnsi="宋体" w:cs="宋体"/>
          <w:b/>
          <w:color w:val="auto"/>
          <w:kern w:val="0"/>
          <w:sz w:val="32"/>
          <w:highlight w:val="none"/>
          <w:shd w:val="clear" w:color="auto" w:fill="FFFFFF"/>
        </w:rPr>
        <w:t>遴</w:t>
      </w:r>
      <w:r>
        <w:rPr>
          <w:rFonts w:hint="eastAsia" w:ascii="宋体" w:hAnsi="宋体"/>
          <w:b/>
          <w:color w:val="auto"/>
          <w:sz w:val="32"/>
          <w:highlight w:val="none"/>
        </w:rPr>
        <w:t>选项目：湖北联新显示科技有限公司二期出资项目</w:t>
      </w:r>
      <w:r>
        <w:rPr>
          <w:rFonts w:hint="eastAsia" w:ascii="宋体" w:hAnsi="宋体"/>
          <w:b/>
          <w:color w:val="auto"/>
          <w:sz w:val="32"/>
          <w:highlight w:val="none"/>
          <w:lang w:eastAsia="zh-CN"/>
        </w:rPr>
        <w:t>资产评估</w:t>
      </w:r>
      <w:r>
        <w:rPr>
          <w:rFonts w:hint="eastAsia" w:ascii="宋体" w:hAnsi="宋体"/>
          <w:b/>
          <w:color w:val="auto"/>
          <w:sz w:val="32"/>
          <w:highlight w:val="none"/>
        </w:rPr>
        <w:t>机构公开遴选服务</w:t>
      </w:r>
    </w:p>
    <w:p>
      <w:pPr>
        <w:widowControl/>
        <w:shd w:val="clear" w:color="auto"/>
        <w:spacing w:line="555" w:lineRule="atLeast"/>
        <w:ind w:right="320" w:firstLine="157" w:firstLineChars="49"/>
        <w:jc w:val="left"/>
        <w:rPr>
          <w:rFonts w:ascii="宋体" w:hAnsi="宋体"/>
          <w:b/>
          <w:color w:val="auto"/>
          <w:sz w:val="32"/>
          <w:highlight w:val="none"/>
        </w:rPr>
      </w:pPr>
      <w:r>
        <w:rPr>
          <w:rFonts w:hint="eastAsia" w:ascii="宋体" w:hAnsi="宋体" w:cs="宋体"/>
          <w:b/>
          <w:color w:val="auto"/>
          <w:kern w:val="0"/>
          <w:sz w:val="32"/>
          <w:highlight w:val="none"/>
          <w:shd w:val="clear" w:color="auto" w:fill="FFFFFF"/>
        </w:rPr>
        <w:t xml:space="preserve">遴 </w:t>
      </w:r>
      <w:r>
        <w:rPr>
          <w:rFonts w:hint="eastAsia" w:ascii="宋体" w:hAnsi="宋体"/>
          <w:b/>
          <w:color w:val="auto"/>
          <w:sz w:val="32"/>
          <w:highlight w:val="none"/>
        </w:rPr>
        <w:t>选 人：黄石市国有资产经营有限公司</w:t>
      </w:r>
    </w:p>
    <w:p>
      <w:pPr>
        <w:spacing w:line="600" w:lineRule="auto"/>
        <w:rPr>
          <w:rFonts w:ascii="宋体" w:hAnsi="宋体"/>
          <w:b/>
          <w:color w:val="auto"/>
          <w:sz w:val="32"/>
          <w:highlight w:val="none"/>
        </w:rPr>
      </w:pPr>
    </w:p>
    <w:p>
      <w:pPr>
        <w:jc w:val="center"/>
        <w:rPr>
          <w:rFonts w:ascii="宋体" w:hAnsi="宋体" w:cs="宋体"/>
          <w:b/>
          <w:color w:val="auto"/>
          <w:sz w:val="18"/>
          <w:szCs w:val="18"/>
          <w:highlight w:val="none"/>
        </w:rPr>
      </w:pPr>
      <w:r>
        <w:rPr>
          <w:rFonts w:hint="eastAsia" w:ascii="宋体" w:hAnsi="宋体" w:cs="宋体"/>
          <w:b/>
          <w:color w:val="auto"/>
          <w:sz w:val="32"/>
          <w:szCs w:val="36"/>
          <w:highlight w:val="none"/>
        </w:rPr>
        <w:t>二〇二一年</w:t>
      </w:r>
      <w:r>
        <w:rPr>
          <w:rFonts w:hint="eastAsia" w:ascii="宋体" w:hAnsi="宋体" w:cs="宋体"/>
          <w:b/>
          <w:color w:val="auto"/>
          <w:sz w:val="32"/>
          <w:szCs w:val="36"/>
          <w:highlight w:val="none"/>
          <w:lang w:val="en-US" w:eastAsia="zh-CN"/>
        </w:rPr>
        <w:t>十一</w:t>
      </w:r>
      <w:r>
        <w:rPr>
          <w:rFonts w:hint="eastAsia" w:ascii="宋体" w:hAnsi="宋体" w:cs="宋体"/>
          <w:b/>
          <w:color w:val="auto"/>
          <w:sz w:val="32"/>
          <w:szCs w:val="36"/>
          <w:highlight w:val="none"/>
        </w:rPr>
        <w:t>月</w:t>
      </w:r>
    </w:p>
    <w:p>
      <w:pPr>
        <w:widowControl/>
        <w:spacing w:line="750" w:lineRule="atLeast"/>
        <w:jc w:val="center"/>
        <w:outlineLvl w:val="1"/>
        <w:rPr>
          <w:rFonts w:ascii="黑体" w:hAnsi="黑体" w:eastAsia="宋体" w:cs="宋体"/>
          <w:color w:val="auto"/>
          <w:kern w:val="0"/>
          <w:sz w:val="42"/>
          <w:szCs w:val="42"/>
          <w:highlight w:val="none"/>
        </w:rPr>
      </w:pPr>
    </w:p>
    <w:p>
      <w:pPr>
        <w:spacing w:line="480" w:lineRule="exact"/>
        <w:jc w:val="center"/>
        <w:rPr>
          <w:rFonts w:ascii="宋体" w:hAnsi="宋体" w:cs="宋体"/>
          <w:color w:val="auto"/>
          <w:sz w:val="44"/>
          <w:szCs w:val="44"/>
          <w:highlight w:val="none"/>
        </w:rPr>
      </w:pPr>
    </w:p>
    <w:p>
      <w:pPr>
        <w:spacing w:line="48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遴选文件目录</w:t>
      </w:r>
    </w:p>
    <w:p>
      <w:pPr>
        <w:pStyle w:val="4"/>
        <w:spacing w:line="480" w:lineRule="exact"/>
        <w:rPr>
          <w:color w:val="auto"/>
          <w:highlight w:val="none"/>
        </w:rPr>
      </w:pPr>
    </w:p>
    <w:p>
      <w:pPr>
        <w:pStyle w:val="13"/>
        <w:tabs>
          <w:tab w:val="right" w:leader="dot" w:pos="8296"/>
        </w:tabs>
        <w:spacing w:line="600" w:lineRule="auto"/>
        <w:jc w:val="center"/>
        <w:rPr>
          <w:rFonts w:ascii="宋体" w:hAnsi="宋体"/>
          <w:color w:val="auto"/>
          <w:sz w:val="32"/>
          <w:szCs w:val="24"/>
          <w:highlight w:val="none"/>
        </w:rPr>
      </w:pPr>
      <w:r>
        <w:rPr>
          <w:rFonts w:hint="eastAsia" w:ascii="宋体" w:hAnsi="宋体" w:cs="宋体"/>
          <w:color w:val="auto"/>
          <w:sz w:val="32"/>
          <w:szCs w:val="24"/>
          <w:highlight w:val="none"/>
        </w:rPr>
        <w:fldChar w:fldCharType="begin"/>
      </w:r>
      <w:r>
        <w:rPr>
          <w:rFonts w:hint="eastAsia" w:ascii="宋体" w:hAnsi="宋体" w:cs="宋体"/>
          <w:color w:val="auto"/>
          <w:sz w:val="32"/>
          <w:szCs w:val="24"/>
          <w:highlight w:val="none"/>
        </w:rPr>
        <w:instrText xml:space="preserve"> TOC \o "1-3" \h \z \u </w:instrText>
      </w:r>
      <w:r>
        <w:rPr>
          <w:rFonts w:hint="eastAsia" w:ascii="宋体" w:hAnsi="宋体" w:cs="宋体"/>
          <w:color w:val="auto"/>
          <w:sz w:val="32"/>
          <w:szCs w:val="24"/>
          <w:highlight w:val="none"/>
        </w:rPr>
        <w:fldChar w:fldCharType="separate"/>
      </w:r>
      <w:r>
        <w:rPr>
          <w:color w:val="auto"/>
          <w:highlight w:val="none"/>
        </w:rPr>
        <w:fldChar w:fldCharType="begin"/>
      </w:r>
      <w:r>
        <w:rPr>
          <w:color w:val="auto"/>
          <w:highlight w:val="none"/>
        </w:rPr>
        <w:instrText xml:space="preserve"> HYPERLINK \l "_Toc3299254" </w:instrText>
      </w:r>
      <w:r>
        <w:rPr>
          <w:color w:val="auto"/>
          <w:highlight w:val="none"/>
        </w:rPr>
        <w:fldChar w:fldCharType="separate"/>
      </w:r>
      <w:r>
        <w:rPr>
          <w:rStyle w:val="21"/>
          <w:rFonts w:hint="eastAsia" w:ascii="宋体" w:hAnsi="宋体" w:cs="宋体"/>
          <w:color w:val="auto"/>
          <w:sz w:val="32"/>
          <w:szCs w:val="24"/>
          <w:highlight w:val="none"/>
          <w:shd w:val="clear" w:color="auto" w:fill="FFFFFF"/>
        </w:rPr>
        <w:t>第一章</w:t>
      </w:r>
      <w:r>
        <w:rPr>
          <w:rStyle w:val="21"/>
          <w:rFonts w:ascii="宋体" w:hAnsi="宋体" w:cs="宋体"/>
          <w:color w:val="auto"/>
          <w:sz w:val="32"/>
          <w:szCs w:val="24"/>
          <w:highlight w:val="none"/>
          <w:shd w:val="clear" w:color="auto" w:fill="FFFFFF"/>
        </w:rPr>
        <w:t xml:space="preserve">  </w:t>
      </w:r>
      <w:r>
        <w:rPr>
          <w:rStyle w:val="21"/>
          <w:rFonts w:hint="eastAsia"/>
          <w:color w:val="auto"/>
          <w:sz w:val="32"/>
          <w:szCs w:val="24"/>
          <w:highlight w:val="none"/>
        </w:rPr>
        <w:t>遴</w:t>
      </w:r>
      <w:r>
        <w:rPr>
          <w:rStyle w:val="21"/>
          <w:rFonts w:hint="eastAsia" w:ascii="宋体" w:hAnsi="宋体" w:cs="宋体"/>
          <w:color w:val="auto"/>
          <w:sz w:val="32"/>
          <w:szCs w:val="24"/>
          <w:highlight w:val="none"/>
          <w:shd w:val="clear" w:color="auto" w:fill="FFFFFF"/>
        </w:rPr>
        <w:t>选公告</w:t>
      </w:r>
      <w:r>
        <w:rPr>
          <w:rFonts w:ascii="宋体" w:hAnsi="宋体"/>
          <w:color w:val="auto"/>
          <w:sz w:val="32"/>
          <w:szCs w:val="24"/>
          <w:highlight w:val="none"/>
        </w:rPr>
        <w:tab/>
      </w:r>
      <w:r>
        <w:rPr>
          <w:rFonts w:ascii="宋体" w:hAnsi="宋体"/>
          <w:color w:val="auto"/>
          <w:sz w:val="32"/>
          <w:szCs w:val="24"/>
          <w:highlight w:val="none"/>
        </w:rPr>
        <w:fldChar w:fldCharType="end"/>
      </w:r>
      <w:r>
        <w:rPr>
          <w:rFonts w:hint="eastAsia" w:ascii="宋体" w:hAnsi="宋体"/>
          <w:color w:val="auto"/>
          <w:sz w:val="32"/>
          <w:szCs w:val="24"/>
          <w:highlight w:val="none"/>
        </w:rPr>
        <w:t>1</w:t>
      </w:r>
    </w:p>
    <w:p>
      <w:pPr>
        <w:pStyle w:val="13"/>
        <w:tabs>
          <w:tab w:val="right" w:leader="dot" w:pos="8296"/>
        </w:tabs>
        <w:spacing w:line="600" w:lineRule="auto"/>
        <w:jc w:val="center"/>
        <w:rPr>
          <w:rFonts w:ascii="宋体" w:hAnsi="宋体"/>
          <w:color w:val="auto"/>
          <w:sz w:val="32"/>
          <w:szCs w:val="24"/>
          <w:highlight w:val="none"/>
        </w:rPr>
      </w:pPr>
      <w:r>
        <w:rPr>
          <w:color w:val="auto"/>
          <w:highlight w:val="none"/>
        </w:rPr>
        <w:fldChar w:fldCharType="begin"/>
      </w:r>
      <w:r>
        <w:rPr>
          <w:color w:val="auto"/>
          <w:highlight w:val="none"/>
        </w:rPr>
        <w:instrText xml:space="preserve"> HYPERLINK \l "_Toc3299255" </w:instrText>
      </w:r>
      <w:r>
        <w:rPr>
          <w:color w:val="auto"/>
          <w:highlight w:val="none"/>
        </w:rPr>
        <w:fldChar w:fldCharType="separate"/>
      </w:r>
      <w:r>
        <w:rPr>
          <w:rStyle w:val="21"/>
          <w:rFonts w:hint="eastAsia" w:ascii="宋体" w:hAnsi="宋体"/>
          <w:color w:val="auto"/>
          <w:sz w:val="32"/>
          <w:szCs w:val="24"/>
          <w:highlight w:val="none"/>
        </w:rPr>
        <w:t>第二章</w:t>
      </w:r>
      <w:r>
        <w:rPr>
          <w:rStyle w:val="21"/>
          <w:rFonts w:ascii="宋体" w:hAnsi="宋体"/>
          <w:color w:val="auto"/>
          <w:sz w:val="32"/>
          <w:szCs w:val="24"/>
          <w:highlight w:val="none"/>
        </w:rPr>
        <w:t xml:space="preserve">  </w:t>
      </w:r>
      <w:r>
        <w:rPr>
          <w:rStyle w:val="21"/>
          <w:rFonts w:hint="eastAsia" w:ascii="宋体" w:hAnsi="宋体"/>
          <w:color w:val="auto"/>
          <w:sz w:val="32"/>
          <w:szCs w:val="24"/>
          <w:highlight w:val="none"/>
        </w:rPr>
        <w:t>参选须知</w:t>
      </w:r>
      <w:r>
        <w:rPr>
          <w:rFonts w:ascii="宋体" w:hAnsi="宋体"/>
          <w:color w:val="auto"/>
          <w:sz w:val="32"/>
          <w:szCs w:val="24"/>
          <w:highlight w:val="none"/>
        </w:rPr>
        <w:tab/>
      </w:r>
      <w:r>
        <w:rPr>
          <w:rFonts w:ascii="宋体" w:hAnsi="宋体"/>
          <w:color w:val="auto"/>
          <w:sz w:val="32"/>
          <w:szCs w:val="24"/>
          <w:highlight w:val="none"/>
        </w:rPr>
        <w:fldChar w:fldCharType="end"/>
      </w:r>
      <w:r>
        <w:rPr>
          <w:rFonts w:hint="eastAsia" w:ascii="宋体" w:hAnsi="宋体"/>
          <w:color w:val="auto"/>
          <w:sz w:val="32"/>
          <w:szCs w:val="24"/>
          <w:highlight w:val="none"/>
        </w:rPr>
        <w:t>5</w:t>
      </w:r>
    </w:p>
    <w:p>
      <w:pPr>
        <w:pStyle w:val="13"/>
        <w:tabs>
          <w:tab w:val="right" w:leader="dot" w:pos="8296"/>
        </w:tabs>
        <w:spacing w:line="600" w:lineRule="auto"/>
        <w:jc w:val="center"/>
        <w:rPr>
          <w:rFonts w:ascii="宋体" w:hAnsi="宋体"/>
          <w:color w:val="auto"/>
          <w:sz w:val="32"/>
          <w:szCs w:val="24"/>
          <w:highlight w:val="none"/>
        </w:rPr>
      </w:pPr>
      <w:r>
        <w:rPr>
          <w:color w:val="auto"/>
          <w:highlight w:val="none"/>
        </w:rPr>
        <w:fldChar w:fldCharType="begin"/>
      </w:r>
      <w:r>
        <w:rPr>
          <w:color w:val="auto"/>
          <w:highlight w:val="none"/>
        </w:rPr>
        <w:instrText xml:space="preserve"> HYPERLINK \l "_Toc3299282" </w:instrText>
      </w:r>
      <w:r>
        <w:rPr>
          <w:color w:val="auto"/>
          <w:highlight w:val="none"/>
        </w:rPr>
        <w:fldChar w:fldCharType="separate"/>
      </w:r>
      <w:r>
        <w:rPr>
          <w:rStyle w:val="21"/>
          <w:rFonts w:hint="eastAsia" w:ascii="宋体" w:hAnsi="宋体" w:cs="宋体"/>
          <w:color w:val="auto"/>
          <w:sz w:val="32"/>
          <w:szCs w:val="24"/>
          <w:highlight w:val="none"/>
          <w:shd w:val="clear" w:color="auto" w:fill="FFFFFF"/>
        </w:rPr>
        <w:t>第三章</w:t>
      </w:r>
      <w:r>
        <w:rPr>
          <w:rStyle w:val="21"/>
          <w:rFonts w:ascii="宋体" w:hAnsi="宋体" w:cs="宋体"/>
          <w:color w:val="auto"/>
          <w:sz w:val="32"/>
          <w:szCs w:val="24"/>
          <w:highlight w:val="none"/>
          <w:shd w:val="clear" w:color="auto" w:fill="FFFFFF"/>
        </w:rPr>
        <w:t xml:space="preserve">  </w:t>
      </w:r>
      <w:r>
        <w:rPr>
          <w:rStyle w:val="21"/>
          <w:rFonts w:hint="eastAsia" w:ascii="宋体" w:hAnsi="宋体" w:cs="宋体"/>
          <w:color w:val="auto"/>
          <w:sz w:val="32"/>
          <w:szCs w:val="24"/>
          <w:highlight w:val="none"/>
          <w:shd w:val="clear" w:color="auto" w:fill="FFFFFF"/>
        </w:rPr>
        <w:t>采购需</w:t>
      </w:r>
      <w:bookmarkStart w:id="0" w:name="_Hlt3468900"/>
      <w:bookmarkStart w:id="1" w:name="_Hlt3468899"/>
      <w:r>
        <w:rPr>
          <w:rStyle w:val="21"/>
          <w:rFonts w:hint="eastAsia" w:ascii="宋体" w:hAnsi="宋体" w:cs="宋体"/>
          <w:color w:val="auto"/>
          <w:sz w:val="32"/>
          <w:szCs w:val="24"/>
          <w:highlight w:val="none"/>
          <w:shd w:val="clear" w:color="auto" w:fill="FFFFFF"/>
        </w:rPr>
        <w:t>求</w:t>
      </w:r>
      <w:bookmarkEnd w:id="0"/>
      <w:bookmarkEnd w:id="1"/>
      <w:r>
        <w:rPr>
          <w:rFonts w:ascii="宋体" w:hAnsi="宋体"/>
          <w:color w:val="auto"/>
          <w:sz w:val="32"/>
          <w:szCs w:val="24"/>
          <w:highlight w:val="none"/>
        </w:rPr>
        <w:tab/>
      </w:r>
      <w:r>
        <w:rPr>
          <w:rFonts w:ascii="宋体" w:hAnsi="宋体"/>
          <w:color w:val="auto"/>
          <w:sz w:val="32"/>
          <w:szCs w:val="24"/>
          <w:highlight w:val="none"/>
        </w:rPr>
        <w:fldChar w:fldCharType="end"/>
      </w:r>
      <w:r>
        <w:rPr>
          <w:rFonts w:hint="eastAsia" w:ascii="宋体" w:hAnsi="宋体"/>
          <w:color w:val="auto"/>
          <w:sz w:val="32"/>
          <w:szCs w:val="24"/>
          <w:highlight w:val="none"/>
        </w:rPr>
        <w:t>12</w:t>
      </w:r>
    </w:p>
    <w:p>
      <w:pPr>
        <w:pStyle w:val="13"/>
        <w:tabs>
          <w:tab w:val="right" w:leader="dot" w:pos="8296"/>
        </w:tabs>
        <w:spacing w:line="600" w:lineRule="auto"/>
        <w:jc w:val="center"/>
        <w:rPr>
          <w:rFonts w:ascii="宋体" w:hAnsi="宋体"/>
          <w:color w:val="auto"/>
          <w:sz w:val="32"/>
          <w:szCs w:val="24"/>
          <w:highlight w:val="none"/>
        </w:rPr>
      </w:pPr>
      <w:r>
        <w:rPr>
          <w:color w:val="auto"/>
          <w:highlight w:val="none"/>
        </w:rPr>
        <w:fldChar w:fldCharType="begin"/>
      </w:r>
      <w:r>
        <w:rPr>
          <w:color w:val="auto"/>
          <w:highlight w:val="none"/>
        </w:rPr>
        <w:instrText xml:space="preserve"> HYPERLINK \l "_Toc3299323" </w:instrText>
      </w:r>
      <w:r>
        <w:rPr>
          <w:color w:val="auto"/>
          <w:highlight w:val="none"/>
        </w:rPr>
        <w:fldChar w:fldCharType="separate"/>
      </w:r>
      <w:r>
        <w:rPr>
          <w:rStyle w:val="21"/>
          <w:rFonts w:hint="eastAsia" w:ascii="宋体" w:hAnsi="宋体"/>
          <w:bCs/>
          <w:color w:val="auto"/>
          <w:sz w:val="32"/>
          <w:szCs w:val="24"/>
          <w:highlight w:val="none"/>
        </w:rPr>
        <w:t>第四章</w:t>
      </w:r>
      <w:r>
        <w:rPr>
          <w:rStyle w:val="21"/>
          <w:rFonts w:ascii="宋体" w:hAnsi="宋体"/>
          <w:bCs/>
          <w:color w:val="auto"/>
          <w:sz w:val="32"/>
          <w:szCs w:val="24"/>
          <w:highlight w:val="none"/>
        </w:rPr>
        <w:t xml:space="preserve">  </w:t>
      </w:r>
      <w:r>
        <w:rPr>
          <w:rStyle w:val="21"/>
          <w:rFonts w:hint="eastAsia" w:ascii="宋体" w:hAnsi="宋体"/>
          <w:bCs/>
          <w:color w:val="auto"/>
          <w:sz w:val="32"/>
          <w:szCs w:val="24"/>
          <w:highlight w:val="none"/>
        </w:rPr>
        <w:t>合同条</w:t>
      </w:r>
      <w:bookmarkStart w:id="2" w:name="_Hlt3299325"/>
      <w:r>
        <w:rPr>
          <w:rStyle w:val="21"/>
          <w:rFonts w:hint="eastAsia" w:ascii="宋体" w:hAnsi="宋体"/>
          <w:bCs/>
          <w:color w:val="auto"/>
          <w:sz w:val="32"/>
          <w:szCs w:val="24"/>
          <w:highlight w:val="none"/>
        </w:rPr>
        <w:t>款</w:t>
      </w:r>
      <w:bookmarkEnd w:id="2"/>
      <w:r>
        <w:rPr>
          <w:rStyle w:val="21"/>
          <w:rFonts w:hint="eastAsia" w:ascii="宋体" w:hAnsi="宋体"/>
          <w:bCs/>
          <w:color w:val="auto"/>
          <w:sz w:val="32"/>
          <w:szCs w:val="24"/>
          <w:highlight w:val="none"/>
        </w:rPr>
        <w:t>及格式</w:t>
      </w:r>
      <w:r>
        <w:rPr>
          <w:rFonts w:ascii="宋体" w:hAnsi="宋体"/>
          <w:color w:val="auto"/>
          <w:sz w:val="32"/>
          <w:szCs w:val="24"/>
          <w:highlight w:val="none"/>
        </w:rPr>
        <w:tab/>
      </w:r>
      <w:r>
        <w:rPr>
          <w:rFonts w:ascii="宋体" w:hAnsi="宋体"/>
          <w:color w:val="auto"/>
          <w:sz w:val="32"/>
          <w:szCs w:val="24"/>
          <w:highlight w:val="none"/>
        </w:rPr>
        <w:fldChar w:fldCharType="begin"/>
      </w:r>
      <w:r>
        <w:rPr>
          <w:rFonts w:ascii="宋体" w:hAnsi="宋体"/>
          <w:color w:val="auto"/>
          <w:sz w:val="32"/>
          <w:szCs w:val="24"/>
          <w:highlight w:val="none"/>
        </w:rPr>
        <w:instrText xml:space="preserve"> PAGEREF _Toc3299323 \h </w:instrText>
      </w:r>
      <w:r>
        <w:rPr>
          <w:rFonts w:ascii="宋体" w:hAnsi="宋体"/>
          <w:color w:val="auto"/>
          <w:sz w:val="32"/>
          <w:szCs w:val="24"/>
          <w:highlight w:val="none"/>
        </w:rPr>
        <w:fldChar w:fldCharType="separate"/>
      </w:r>
      <w:r>
        <w:rPr>
          <w:rFonts w:ascii="宋体" w:hAnsi="宋体"/>
          <w:color w:val="auto"/>
          <w:sz w:val="32"/>
          <w:szCs w:val="24"/>
          <w:highlight w:val="none"/>
        </w:rPr>
        <w:t>13</w:t>
      </w:r>
      <w:r>
        <w:rPr>
          <w:rFonts w:ascii="宋体" w:hAnsi="宋体"/>
          <w:color w:val="auto"/>
          <w:sz w:val="32"/>
          <w:szCs w:val="24"/>
          <w:highlight w:val="none"/>
        </w:rPr>
        <w:fldChar w:fldCharType="end"/>
      </w:r>
      <w:r>
        <w:rPr>
          <w:rFonts w:ascii="宋体" w:hAnsi="宋体"/>
          <w:color w:val="auto"/>
          <w:sz w:val="32"/>
          <w:szCs w:val="24"/>
          <w:highlight w:val="none"/>
        </w:rPr>
        <w:fldChar w:fldCharType="end"/>
      </w:r>
    </w:p>
    <w:p>
      <w:pPr>
        <w:pStyle w:val="13"/>
        <w:tabs>
          <w:tab w:val="right" w:leader="dot" w:pos="8296"/>
        </w:tabs>
        <w:spacing w:line="600" w:lineRule="auto"/>
        <w:jc w:val="center"/>
        <w:rPr>
          <w:rFonts w:hint="default" w:ascii="宋体" w:hAnsi="宋体" w:eastAsiaTheme="minorEastAsia"/>
          <w:color w:val="auto"/>
          <w:sz w:val="32"/>
          <w:szCs w:val="24"/>
          <w:highlight w:val="none"/>
          <w:lang w:val="en-US" w:eastAsia="zh-CN"/>
        </w:rPr>
      </w:pPr>
      <w:r>
        <w:rPr>
          <w:color w:val="auto"/>
          <w:highlight w:val="none"/>
        </w:rPr>
        <w:fldChar w:fldCharType="begin"/>
      </w:r>
      <w:r>
        <w:rPr>
          <w:color w:val="auto"/>
          <w:highlight w:val="none"/>
        </w:rPr>
        <w:instrText xml:space="preserve"> HYPERLINK \l "_Toc3299324" </w:instrText>
      </w:r>
      <w:r>
        <w:rPr>
          <w:color w:val="auto"/>
          <w:highlight w:val="none"/>
        </w:rPr>
        <w:fldChar w:fldCharType="separate"/>
      </w:r>
      <w:r>
        <w:rPr>
          <w:rStyle w:val="21"/>
          <w:rFonts w:hint="eastAsia" w:ascii="宋体" w:hAnsi="宋体" w:cs="宋体"/>
          <w:color w:val="auto"/>
          <w:sz w:val="32"/>
          <w:szCs w:val="24"/>
          <w:highlight w:val="none"/>
          <w:shd w:val="clear" w:color="auto" w:fill="FFFFFF"/>
        </w:rPr>
        <w:t>第五章</w:t>
      </w:r>
      <w:r>
        <w:rPr>
          <w:rStyle w:val="21"/>
          <w:rFonts w:ascii="宋体" w:hAnsi="宋体" w:cs="宋体"/>
          <w:color w:val="auto"/>
          <w:sz w:val="32"/>
          <w:szCs w:val="24"/>
          <w:highlight w:val="none"/>
          <w:shd w:val="clear" w:color="auto" w:fill="FFFFFF"/>
        </w:rPr>
        <w:t xml:space="preserve">  </w:t>
      </w:r>
      <w:r>
        <w:rPr>
          <w:rStyle w:val="21"/>
          <w:rFonts w:hint="eastAsia" w:ascii="宋体" w:hAnsi="宋体" w:cs="宋体"/>
          <w:color w:val="auto"/>
          <w:sz w:val="32"/>
          <w:szCs w:val="24"/>
          <w:highlight w:val="none"/>
          <w:shd w:val="clear" w:color="auto" w:fill="FFFFFF"/>
        </w:rPr>
        <w:t>参选文件格式</w:t>
      </w:r>
      <w:r>
        <w:rPr>
          <w:rFonts w:ascii="宋体" w:hAnsi="宋体"/>
          <w:color w:val="auto"/>
          <w:sz w:val="32"/>
          <w:szCs w:val="24"/>
          <w:highlight w:val="none"/>
        </w:rPr>
        <w:tab/>
      </w:r>
      <w:r>
        <w:rPr>
          <w:rFonts w:ascii="宋体" w:hAnsi="宋体"/>
          <w:color w:val="auto"/>
          <w:sz w:val="32"/>
          <w:szCs w:val="24"/>
          <w:highlight w:val="none"/>
        </w:rPr>
        <w:fldChar w:fldCharType="end"/>
      </w:r>
      <w:r>
        <w:rPr>
          <w:rFonts w:hint="eastAsia" w:ascii="宋体" w:hAnsi="宋体"/>
          <w:color w:val="auto"/>
          <w:sz w:val="32"/>
          <w:szCs w:val="24"/>
          <w:highlight w:val="none"/>
          <w:lang w:val="en-US" w:eastAsia="zh-CN"/>
        </w:rPr>
        <w:t>18</w:t>
      </w:r>
    </w:p>
    <w:p>
      <w:pPr>
        <w:widowControl/>
        <w:spacing w:line="750" w:lineRule="atLeast"/>
        <w:jc w:val="center"/>
        <w:outlineLvl w:val="1"/>
        <w:rPr>
          <w:rFonts w:ascii="黑体" w:hAnsi="黑体" w:eastAsia="宋体" w:cs="宋体"/>
          <w:color w:val="auto"/>
          <w:kern w:val="0"/>
          <w:sz w:val="42"/>
          <w:szCs w:val="42"/>
          <w:highlight w:val="none"/>
        </w:rPr>
      </w:pPr>
      <w:r>
        <w:rPr>
          <w:rFonts w:hint="eastAsia" w:ascii="宋体" w:hAnsi="宋体" w:cs="宋体"/>
          <w:bCs/>
          <w:color w:val="auto"/>
          <w:sz w:val="32"/>
          <w:highlight w:val="none"/>
          <w:lang w:val="zh-CN"/>
        </w:rPr>
        <w:fldChar w:fldCharType="end"/>
      </w: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jc w:val="center"/>
        <w:outlineLvl w:val="1"/>
        <w:rPr>
          <w:rFonts w:ascii="黑体" w:hAnsi="黑体" w:eastAsia="宋体" w:cs="宋体"/>
          <w:color w:val="auto"/>
          <w:kern w:val="0"/>
          <w:sz w:val="42"/>
          <w:szCs w:val="42"/>
          <w:highlight w:val="none"/>
        </w:rPr>
      </w:pPr>
    </w:p>
    <w:p>
      <w:pPr>
        <w:widowControl/>
        <w:spacing w:line="750" w:lineRule="atLeast"/>
        <w:outlineLvl w:val="1"/>
        <w:rPr>
          <w:rFonts w:ascii="黑体" w:hAnsi="黑体" w:eastAsia="宋体" w:cs="宋体"/>
          <w:color w:val="auto"/>
          <w:kern w:val="0"/>
          <w:sz w:val="42"/>
          <w:szCs w:val="42"/>
          <w:highlight w:val="none"/>
        </w:rPr>
      </w:pPr>
    </w:p>
    <w:p>
      <w:pPr>
        <w:pStyle w:val="2"/>
        <w:keepNext w:val="0"/>
        <w:keepLines w:val="0"/>
        <w:widowControl/>
        <w:spacing w:beforeLines="50" w:afterLines="50" w:line="480" w:lineRule="exact"/>
        <w:ind w:firstLine="2591" w:firstLineChars="717"/>
        <w:rPr>
          <w:rFonts w:ascii="黑体" w:hAnsi="黑体" w:eastAsia="宋体" w:cs="宋体"/>
          <w:color w:val="auto"/>
          <w:kern w:val="0"/>
          <w:szCs w:val="21"/>
          <w:highlight w:val="none"/>
        </w:rPr>
      </w:pPr>
      <w:bookmarkStart w:id="3" w:name="_Toc3299254"/>
      <w:bookmarkStart w:id="4" w:name="_Toc3299067"/>
      <w:r>
        <w:rPr>
          <w:rFonts w:hint="eastAsia" w:ascii="宋体" w:hAnsi="宋体" w:eastAsia="宋体" w:cs="宋体"/>
          <w:color w:val="auto"/>
          <w:kern w:val="2"/>
          <w:sz w:val="36"/>
          <w:highlight w:val="none"/>
          <w:shd w:val="clear" w:color="auto" w:fill="FFFFFF"/>
        </w:rPr>
        <w:t>第一章  遴选</w:t>
      </w:r>
      <w:bookmarkEnd w:id="3"/>
      <w:bookmarkEnd w:id="4"/>
      <w:r>
        <w:rPr>
          <w:rFonts w:hint="eastAsia" w:ascii="宋体" w:hAnsi="宋体" w:eastAsia="宋体" w:cs="宋体"/>
          <w:color w:val="auto"/>
          <w:kern w:val="2"/>
          <w:sz w:val="36"/>
          <w:highlight w:val="none"/>
          <w:shd w:val="clear" w:color="auto" w:fill="FFFFFF"/>
        </w:rPr>
        <w:t>公告</w:t>
      </w:r>
      <w:r>
        <w:rPr>
          <w:rFonts w:ascii="黑体" w:hAnsi="黑体" w:eastAsia="宋体" w:cs="宋体"/>
          <w:color w:val="auto"/>
          <w:kern w:val="0"/>
          <w:szCs w:val="21"/>
          <w:highlight w:val="none"/>
        </w:rPr>
        <w:t>　　</w:t>
      </w:r>
    </w:p>
    <w:p>
      <w:pPr>
        <w:widowControl/>
        <w:spacing w:line="600" w:lineRule="atLeast"/>
        <w:ind w:firstLine="64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因工作需要，黄石市国有资产经营有限公司拟就湖北联新显示科技有限公司二期出资项目</w:t>
      </w:r>
      <w:r>
        <w:rPr>
          <w:rFonts w:hint="eastAsia" w:ascii="宋体" w:hAnsi="宋体" w:eastAsia="宋体" w:cs="宋体"/>
          <w:color w:val="auto"/>
          <w:kern w:val="0"/>
          <w:sz w:val="24"/>
          <w:szCs w:val="24"/>
          <w:highlight w:val="none"/>
          <w:lang w:eastAsia="zh-CN"/>
        </w:rPr>
        <w:t>资产评估</w:t>
      </w:r>
      <w:r>
        <w:rPr>
          <w:rFonts w:hint="eastAsia" w:ascii="宋体" w:hAnsi="宋体" w:eastAsia="宋体" w:cs="宋体"/>
          <w:color w:val="auto"/>
          <w:kern w:val="0"/>
          <w:sz w:val="24"/>
          <w:szCs w:val="24"/>
          <w:highlight w:val="none"/>
        </w:rPr>
        <w:t>机构</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公开遴选，欢迎符合资格的单位参加遴选活动。</w:t>
      </w:r>
    </w:p>
    <w:p>
      <w:pPr>
        <w:widowControl/>
        <w:spacing w:line="600" w:lineRule="atLeast"/>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一、项目名称：</w:t>
      </w:r>
      <w:r>
        <w:rPr>
          <w:rFonts w:hint="eastAsia" w:ascii="宋体" w:hAnsi="宋体" w:eastAsia="宋体" w:cs="宋体"/>
          <w:b w:val="0"/>
          <w:bCs w:val="0"/>
          <w:color w:val="auto"/>
          <w:kern w:val="2"/>
          <w:sz w:val="24"/>
          <w:szCs w:val="24"/>
          <w:highlight w:val="none"/>
          <w:shd w:val="clear" w:color="auto" w:fill="FFFFFF"/>
        </w:rPr>
        <w:t>湖北联新显示科技有限公司二期出资项目</w:t>
      </w:r>
      <w:r>
        <w:rPr>
          <w:rFonts w:hint="eastAsia" w:ascii="宋体" w:hAnsi="宋体" w:eastAsia="宋体" w:cs="宋体"/>
          <w:b w:val="0"/>
          <w:bCs w:val="0"/>
          <w:color w:val="auto"/>
          <w:kern w:val="2"/>
          <w:sz w:val="24"/>
          <w:szCs w:val="24"/>
          <w:highlight w:val="none"/>
          <w:shd w:val="clear" w:color="auto" w:fill="FFFFFF"/>
          <w:lang w:eastAsia="zh-CN"/>
        </w:rPr>
        <w:t>资产评估</w:t>
      </w:r>
      <w:r>
        <w:rPr>
          <w:rFonts w:hint="eastAsia" w:ascii="宋体" w:hAnsi="宋体" w:eastAsia="宋体" w:cs="宋体"/>
          <w:b w:val="0"/>
          <w:bCs w:val="0"/>
          <w:color w:val="auto"/>
          <w:kern w:val="2"/>
          <w:sz w:val="24"/>
          <w:szCs w:val="24"/>
          <w:highlight w:val="none"/>
          <w:shd w:val="clear" w:color="auto" w:fill="FFFFFF"/>
        </w:rPr>
        <w:t>机构公开遴选服务</w:t>
      </w:r>
      <w:r>
        <w:rPr>
          <w:rFonts w:hint="eastAsia" w:ascii="宋体" w:hAnsi="宋体" w:eastAsia="宋体" w:cs="宋体"/>
          <w:color w:val="auto"/>
          <w:kern w:val="0"/>
          <w:sz w:val="24"/>
          <w:szCs w:val="24"/>
          <w:highlight w:val="none"/>
          <w:lang w:eastAsia="zh-CN"/>
        </w:rPr>
        <w:t>。</w:t>
      </w:r>
    </w:p>
    <w:p>
      <w:pPr>
        <w:widowControl/>
        <w:spacing w:line="600" w:lineRule="atLeast"/>
        <w:rPr>
          <w:rFonts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二、采购预算：</w:t>
      </w:r>
      <w:r>
        <w:rPr>
          <w:rFonts w:hint="eastAsia" w:ascii="宋体" w:hAnsi="宋体" w:eastAsia="宋体" w:cs="宋体"/>
          <w:color w:val="auto"/>
          <w:kern w:val="0"/>
          <w:sz w:val="24"/>
          <w:szCs w:val="24"/>
          <w:highlight w:val="none"/>
        </w:rPr>
        <w:t>本次预算价</w:t>
      </w:r>
      <w:r>
        <w:rPr>
          <w:rFonts w:hint="eastAsia" w:ascii="宋体" w:hAnsi="宋体" w:eastAsia="宋体" w:cs="宋体"/>
          <w:color w:val="auto"/>
          <w:kern w:val="0"/>
          <w:sz w:val="24"/>
          <w:szCs w:val="24"/>
          <w:highlight w:val="none"/>
          <w:u w:val="single"/>
          <w:lang w:val="en-US" w:eastAsia="zh-CN"/>
        </w:rPr>
        <w:t>25</w:t>
      </w:r>
      <w:r>
        <w:rPr>
          <w:rFonts w:hint="eastAsia" w:ascii="宋体" w:hAnsi="宋体" w:eastAsia="宋体" w:cs="宋体"/>
          <w:color w:val="auto"/>
          <w:kern w:val="0"/>
          <w:sz w:val="24"/>
          <w:szCs w:val="24"/>
          <w:highlight w:val="none"/>
          <w:u w:val="single"/>
        </w:rPr>
        <w:t>万元</w:t>
      </w:r>
      <w:r>
        <w:rPr>
          <w:rFonts w:hint="eastAsia" w:ascii="宋体" w:hAnsi="宋体" w:eastAsia="宋体" w:cs="宋体"/>
          <w:color w:val="auto"/>
          <w:kern w:val="0"/>
          <w:sz w:val="24"/>
          <w:szCs w:val="24"/>
          <w:highlight w:val="none"/>
        </w:rPr>
        <w:t>,超过该报价为无效报价。</w:t>
      </w:r>
    </w:p>
    <w:p>
      <w:pPr>
        <w:widowControl/>
        <w:spacing w:line="600" w:lineRule="atLeast"/>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rPr>
        <w:t>三、采购内容：</w:t>
      </w:r>
      <w:r>
        <w:rPr>
          <w:rFonts w:hint="eastAsia" w:ascii="宋体" w:hAnsi="宋体" w:eastAsia="宋体" w:cs="宋体"/>
          <w:color w:val="auto"/>
          <w:kern w:val="0"/>
          <w:sz w:val="24"/>
          <w:szCs w:val="24"/>
          <w:highlight w:val="none"/>
        </w:rPr>
        <w:t>包括但不限于对</w:t>
      </w:r>
      <w:r>
        <w:rPr>
          <w:rFonts w:hint="eastAsia" w:ascii="宋体" w:hAnsi="宋体" w:eastAsia="宋体" w:cs="宋体"/>
          <w:color w:val="auto"/>
          <w:kern w:val="0"/>
          <w:sz w:val="24"/>
          <w:szCs w:val="24"/>
          <w:highlight w:val="none"/>
          <w:lang w:eastAsia="zh-CN"/>
        </w:rPr>
        <w:t>联创电子拟作价出资股权及设备</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eastAsia="zh-CN"/>
        </w:rPr>
        <w:t>价值评估</w:t>
      </w:r>
      <w:r>
        <w:rPr>
          <w:rFonts w:hint="eastAsia" w:ascii="宋体" w:hAnsi="宋体" w:eastAsia="宋体" w:cs="宋体"/>
          <w:color w:val="auto"/>
          <w:kern w:val="0"/>
          <w:sz w:val="24"/>
          <w:szCs w:val="24"/>
          <w:highlight w:val="none"/>
        </w:rPr>
        <w:t>并出具纸质</w:t>
      </w:r>
      <w:r>
        <w:rPr>
          <w:rFonts w:hint="eastAsia" w:ascii="宋体" w:hAnsi="宋体" w:eastAsia="宋体" w:cs="宋体"/>
          <w:color w:val="auto"/>
          <w:kern w:val="0"/>
          <w:sz w:val="24"/>
          <w:szCs w:val="24"/>
          <w:highlight w:val="none"/>
          <w:lang w:eastAsia="zh-CN"/>
        </w:rPr>
        <w:t>评估</w:t>
      </w:r>
      <w:r>
        <w:rPr>
          <w:rFonts w:hint="eastAsia" w:ascii="宋体" w:hAnsi="宋体" w:eastAsia="宋体" w:cs="宋体"/>
          <w:color w:val="auto"/>
          <w:kern w:val="0"/>
          <w:sz w:val="24"/>
          <w:szCs w:val="24"/>
          <w:highlight w:val="none"/>
        </w:rPr>
        <w:t>报告；详见第三章“采购需求”</w:t>
      </w:r>
      <w:r>
        <w:rPr>
          <w:rFonts w:hint="eastAsia" w:ascii="宋体" w:hAnsi="宋体" w:eastAsia="宋体" w:cs="宋体"/>
          <w:color w:val="auto"/>
          <w:kern w:val="0"/>
          <w:sz w:val="24"/>
          <w:szCs w:val="24"/>
          <w:highlight w:val="none"/>
          <w:lang w:eastAsia="zh-CN"/>
        </w:rPr>
        <w:t>。</w:t>
      </w:r>
    </w:p>
    <w:p>
      <w:pPr>
        <w:widowControl/>
        <w:spacing w:line="600" w:lineRule="atLeas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四、参选人资格要求</w:t>
      </w:r>
    </w:p>
    <w:p>
      <w:pPr>
        <w:pStyle w:val="14"/>
        <w:widowControl/>
        <w:spacing w:after="870" w:line="408" w:lineRule="auto"/>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1</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eastAsia="zh-CN"/>
        </w:rPr>
        <w:t>中华人民共和国境内注册成立的独立法人</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具有行政主管部门核发的有效的资产评估备案证书</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证券期货相关业务评估</w:t>
      </w:r>
      <w:r>
        <w:rPr>
          <w:rFonts w:hint="eastAsia" w:cs="宋体"/>
          <w:color w:val="auto"/>
          <w:sz w:val="24"/>
          <w:szCs w:val="24"/>
          <w:highlight w:val="none"/>
          <w:shd w:val="clear" w:color="auto" w:fill="FFFFFF"/>
          <w:lang w:val="en-US" w:eastAsia="zh-CN"/>
        </w:rPr>
        <w:t>备案证书</w:t>
      </w:r>
      <w:r>
        <w:rPr>
          <w:rFonts w:hint="eastAsia" w:ascii="宋体" w:hAnsi="宋体" w:eastAsia="宋体" w:cs="宋体"/>
          <w:color w:val="auto"/>
          <w:sz w:val="24"/>
          <w:szCs w:val="24"/>
          <w:highlight w:val="none"/>
          <w:shd w:val="clear" w:color="auto" w:fill="FFFFFF"/>
        </w:rPr>
        <w:t>。</w:t>
      </w:r>
    </w:p>
    <w:p>
      <w:pPr>
        <w:pStyle w:val="14"/>
        <w:widowControl/>
        <w:spacing w:before="210" w:after="960" w:line="480" w:lineRule="auto"/>
        <w:ind w:firstLine="0" w:firstLineChars="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2</w:t>
      </w:r>
      <w:r>
        <w:rPr>
          <w:rFonts w:hint="eastAsia" w:ascii="宋体" w:hAnsi="宋体" w:eastAsia="宋体" w:cs="宋体"/>
          <w:color w:val="auto"/>
          <w:sz w:val="24"/>
          <w:szCs w:val="24"/>
          <w:highlight w:val="none"/>
          <w:shd w:val="clear" w:color="auto" w:fill="FFFFFF"/>
          <w:lang w:val="en-US" w:eastAsia="zh-CN"/>
        </w:rPr>
        <w:t>.</w:t>
      </w:r>
      <w:r>
        <w:rPr>
          <w:rFonts w:hint="eastAsia" w:cs="宋体"/>
          <w:color w:val="auto"/>
          <w:sz w:val="24"/>
          <w:szCs w:val="24"/>
          <w:highlight w:val="none"/>
          <w:shd w:val="clear" w:color="auto" w:fill="FFFFFF"/>
          <w:lang w:val="en-US" w:eastAsia="zh-CN"/>
        </w:rPr>
        <w:t>参选人</w:t>
      </w:r>
      <w:r>
        <w:rPr>
          <w:rFonts w:hint="eastAsia" w:ascii="宋体" w:hAnsi="宋体" w:eastAsia="宋体" w:cs="宋体"/>
          <w:color w:val="auto"/>
          <w:sz w:val="24"/>
          <w:szCs w:val="24"/>
          <w:highlight w:val="none"/>
          <w:shd w:val="clear" w:color="auto" w:fill="FFFFFF"/>
          <w:lang w:eastAsia="zh-CN"/>
        </w:rPr>
        <w:t>具有</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lang w:eastAsia="zh-CN"/>
        </w:rPr>
        <w:t>名</w:t>
      </w:r>
      <w:r>
        <w:rPr>
          <w:rFonts w:hint="eastAsia" w:cs="宋体"/>
          <w:color w:val="auto"/>
          <w:sz w:val="24"/>
          <w:szCs w:val="24"/>
          <w:highlight w:val="none"/>
          <w:shd w:val="clear" w:color="auto" w:fill="FFFFFF"/>
          <w:lang w:eastAsia="zh-CN"/>
        </w:rPr>
        <w:t>及</w:t>
      </w:r>
      <w:r>
        <w:rPr>
          <w:rFonts w:hint="eastAsia" w:ascii="宋体" w:hAnsi="宋体" w:eastAsia="宋体" w:cs="宋体"/>
          <w:color w:val="auto"/>
          <w:sz w:val="24"/>
          <w:szCs w:val="24"/>
          <w:highlight w:val="none"/>
          <w:shd w:val="clear" w:color="auto" w:fill="FFFFFF"/>
          <w:lang w:eastAsia="zh-CN"/>
        </w:rPr>
        <w:t>以上受聘资产评估师；</w:t>
      </w:r>
      <w:r>
        <w:rPr>
          <w:rFonts w:hint="eastAsia" w:ascii="宋体" w:hAnsi="宋体" w:eastAsia="宋体" w:cs="宋体"/>
          <w:color w:val="auto"/>
          <w:sz w:val="24"/>
          <w:szCs w:val="24"/>
          <w:highlight w:val="none"/>
          <w:shd w:val="clear" w:color="auto" w:fill="FFFFFF"/>
        </w:rPr>
        <w:t>项目负责人具有资产评估师资格证书；</w:t>
      </w:r>
    </w:p>
    <w:p>
      <w:pPr>
        <w:widowControl/>
        <w:spacing w:line="600" w:lineRule="atLeast"/>
        <w:ind w:firstLine="0" w:firstLineChars="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3</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lang w:eastAsia="zh-CN"/>
        </w:rPr>
        <w:t>近</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年内</w:t>
      </w:r>
      <w:r>
        <w:rPr>
          <w:rFonts w:ascii="仿宋_GB2312" w:hAnsi="等线" w:eastAsia="仿宋_GB2312" w:cs="仿宋_GB2312"/>
          <w:color w:val="auto"/>
          <w:kern w:val="0"/>
          <w:sz w:val="24"/>
          <w:szCs w:val="24"/>
          <w:highlight w:val="none"/>
        </w:rPr>
        <w:t>（2018年</w:t>
      </w:r>
      <w:r>
        <w:rPr>
          <w:rFonts w:hint="eastAsia" w:ascii="仿宋_GB2312" w:hAnsi="等线" w:eastAsia="仿宋_GB2312" w:cs="仿宋_GB2312"/>
          <w:color w:val="auto"/>
          <w:kern w:val="0"/>
          <w:sz w:val="24"/>
          <w:szCs w:val="24"/>
          <w:highlight w:val="none"/>
          <w:lang w:val="en-US" w:eastAsia="zh-CN"/>
        </w:rPr>
        <w:t>11</w:t>
      </w:r>
      <w:r>
        <w:rPr>
          <w:rFonts w:ascii="仿宋_GB2312" w:hAnsi="等线" w:eastAsia="仿宋_GB2312" w:cs="仿宋_GB2312"/>
          <w:color w:val="auto"/>
          <w:kern w:val="0"/>
          <w:sz w:val="24"/>
          <w:szCs w:val="24"/>
          <w:highlight w:val="none"/>
        </w:rPr>
        <w:t>月至投标截止日）</w:t>
      </w:r>
      <w:r>
        <w:rPr>
          <w:rFonts w:hint="eastAsia" w:ascii="宋体" w:hAnsi="宋体" w:eastAsia="宋体" w:cs="宋体"/>
          <w:color w:val="auto"/>
          <w:sz w:val="24"/>
          <w:szCs w:val="24"/>
          <w:highlight w:val="none"/>
          <w:shd w:val="clear" w:color="auto" w:fill="FFFFFF"/>
          <w:lang w:eastAsia="zh-CN"/>
        </w:rPr>
        <w:t>未受到司法及行政部门处罚或资产评估行业协会的行业处分。</w:t>
      </w:r>
    </w:p>
    <w:p>
      <w:pPr>
        <w:pStyle w:val="14"/>
        <w:widowControl/>
        <w:spacing w:before="210" w:after="960" w:line="480" w:lineRule="auto"/>
        <w:ind w:firstLine="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eastAsia="zh-CN"/>
        </w:rPr>
        <w:t>4</w:t>
      </w:r>
      <w:r>
        <w:rPr>
          <w:rFonts w:hint="eastAsia" w:ascii="宋体" w:hAnsi="宋体" w:eastAsia="宋体" w:cs="宋体"/>
          <w:color w:val="auto"/>
          <w:sz w:val="24"/>
          <w:szCs w:val="24"/>
          <w:highlight w:val="none"/>
          <w:shd w:val="clear" w:color="auto" w:fill="FFFFFF"/>
        </w:rPr>
        <w:t>在“信用中国”网站（www.creditchina.gov.cn）中未被列入失信被执行人、重大税收违法案件当事人名单、政府采购严重违法失信行为记录名单</w:t>
      </w:r>
      <w:r>
        <w:rPr>
          <w:rFonts w:hint="eastAsia" w:cs="宋体"/>
          <w:color w:val="auto"/>
          <w:sz w:val="24"/>
          <w:szCs w:val="24"/>
          <w:highlight w:val="none"/>
          <w:shd w:val="clear" w:color="auto" w:fill="FFFFFF"/>
          <w:lang w:eastAsia="zh-CN"/>
        </w:rPr>
        <w:t>（提供投标截止日前</w:t>
      </w:r>
      <w:r>
        <w:rPr>
          <w:rFonts w:hint="eastAsia" w:cs="宋体"/>
          <w:color w:val="auto"/>
          <w:sz w:val="24"/>
          <w:szCs w:val="24"/>
          <w:highlight w:val="none"/>
          <w:shd w:val="clear" w:color="auto" w:fill="FFFFFF"/>
          <w:lang w:val="en-US" w:eastAsia="zh-CN"/>
        </w:rPr>
        <w:t>7天网站截图）</w:t>
      </w:r>
      <w:r>
        <w:rPr>
          <w:rFonts w:hint="eastAsia" w:ascii="宋体" w:hAnsi="宋体" w:eastAsia="宋体" w:cs="宋体"/>
          <w:color w:val="auto"/>
          <w:sz w:val="24"/>
          <w:szCs w:val="24"/>
          <w:highlight w:val="none"/>
          <w:shd w:val="clear" w:color="auto" w:fill="FFFFFF"/>
        </w:rPr>
        <w:t>；</w:t>
      </w:r>
    </w:p>
    <w:p>
      <w:pPr>
        <w:pStyle w:val="14"/>
        <w:widowControl/>
        <w:spacing w:before="210" w:after="960" w:line="480" w:lineRule="auto"/>
        <w:ind w:firstLine="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五、递交参选文件截止时间</w:t>
      </w:r>
    </w:p>
    <w:p>
      <w:pPr>
        <w:pStyle w:val="14"/>
        <w:widowControl/>
        <w:spacing w:before="210" w:after="960"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1.送达地点：黄石经济技术开发区光谷联合科技城14栋201室；</w:t>
      </w:r>
    </w:p>
    <w:p>
      <w:pPr>
        <w:widowControl/>
        <w:spacing w:line="600" w:lineRule="atLeas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2.截止时间：2021年11月</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eastAsia="zh-CN"/>
        </w:rPr>
        <w:t>上</w:t>
      </w:r>
      <w:r>
        <w:rPr>
          <w:rFonts w:hint="eastAsia" w:ascii="宋体" w:hAnsi="宋体" w:eastAsia="宋体" w:cs="宋体"/>
          <w:color w:val="auto"/>
          <w:kern w:val="0"/>
          <w:sz w:val="24"/>
          <w:szCs w:val="24"/>
          <w:highlight w:val="none"/>
        </w:rPr>
        <w:t>午</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0。（现场递交或邮寄均可，邮寄以签收时间为准）</w:t>
      </w:r>
    </w:p>
    <w:p>
      <w:pPr>
        <w:widowControl/>
        <w:spacing w:line="600" w:lineRule="atLeast"/>
        <w:ind w:firstLine="0" w:firstLineChars="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3.不接受截止时间后递交的参选文件。</w:t>
      </w:r>
    </w:p>
    <w:p>
      <w:pPr>
        <w:widowControl/>
        <w:spacing w:line="600" w:lineRule="atLeas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六、联系方式 </w:t>
      </w:r>
    </w:p>
    <w:p>
      <w:pPr>
        <w:widowControl/>
        <w:spacing w:line="495"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联系人：袁先生     </w:t>
      </w:r>
    </w:p>
    <w:p>
      <w:pPr>
        <w:widowControl/>
        <w:spacing w:line="495"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联系电话：18672215120</w:t>
      </w:r>
    </w:p>
    <w:p>
      <w:pPr>
        <w:widowControl/>
        <w:spacing w:line="495" w:lineRule="atLeas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地址：黄石经济技术开发区光谷联合科技城14栋201室</w:t>
      </w:r>
    </w:p>
    <w:p>
      <w:pPr>
        <w:widowControl/>
        <w:spacing w:line="495" w:lineRule="atLeast"/>
        <w:ind w:firstLine="645"/>
        <w:rPr>
          <w:rFonts w:ascii="宋体" w:hAnsi="宋体" w:eastAsia="宋体" w:cs="宋体"/>
          <w:color w:val="auto"/>
          <w:kern w:val="0"/>
          <w:sz w:val="24"/>
          <w:szCs w:val="24"/>
          <w:highlight w:val="none"/>
        </w:rPr>
      </w:pPr>
    </w:p>
    <w:p>
      <w:pPr>
        <w:pStyle w:val="2"/>
        <w:rPr>
          <w:color w:val="auto"/>
          <w:highlight w:val="none"/>
        </w:rPr>
      </w:pPr>
    </w:p>
    <w:p>
      <w:pPr>
        <w:widowControl/>
        <w:spacing w:line="495" w:lineRule="atLeast"/>
        <w:ind w:firstLine="645"/>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黄石市国有资产经营有限公司</w:t>
      </w:r>
    </w:p>
    <w:p>
      <w:pPr>
        <w:widowControl/>
        <w:spacing w:line="495" w:lineRule="atLeast"/>
        <w:ind w:right="645" w:firstLine="645"/>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2021年</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日</w:t>
      </w:r>
    </w:p>
    <w:p>
      <w:pPr>
        <w:pStyle w:val="4"/>
        <w:rPr>
          <w:rFonts w:ascii="仿宋_GB2312" w:hAnsi="黑体" w:eastAsia="仿宋_GB2312" w:cs="宋体"/>
          <w:color w:val="auto"/>
          <w:sz w:val="32"/>
          <w:szCs w:val="32"/>
          <w:highlight w:val="none"/>
        </w:rPr>
      </w:pPr>
    </w:p>
    <w:p>
      <w:pPr>
        <w:pStyle w:val="4"/>
        <w:rPr>
          <w:rFonts w:ascii="仿宋_GB2312" w:hAnsi="黑体" w:eastAsia="仿宋_GB2312" w:cs="宋体"/>
          <w:color w:val="auto"/>
          <w:sz w:val="32"/>
          <w:szCs w:val="32"/>
          <w:highlight w:val="none"/>
        </w:rPr>
      </w:pPr>
    </w:p>
    <w:p>
      <w:pPr>
        <w:pStyle w:val="4"/>
        <w:rPr>
          <w:rFonts w:ascii="仿宋_GB2312" w:hAnsi="黑体" w:eastAsia="仿宋_GB2312" w:cs="宋体"/>
          <w:color w:val="auto"/>
          <w:sz w:val="32"/>
          <w:szCs w:val="32"/>
          <w:highlight w:val="none"/>
        </w:rPr>
      </w:pPr>
    </w:p>
    <w:p>
      <w:pPr>
        <w:pStyle w:val="4"/>
        <w:rPr>
          <w:rFonts w:ascii="仿宋_GB2312" w:hAnsi="黑体" w:eastAsia="仿宋_GB2312" w:cs="宋体"/>
          <w:color w:val="auto"/>
          <w:sz w:val="32"/>
          <w:szCs w:val="32"/>
          <w:highlight w:val="none"/>
        </w:rPr>
      </w:pPr>
    </w:p>
    <w:p>
      <w:pPr>
        <w:pStyle w:val="4"/>
        <w:rPr>
          <w:rFonts w:ascii="仿宋_GB2312" w:hAnsi="黑体" w:eastAsia="仿宋_GB2312" w:cs="宋体"/>
          <w:color w:val="auto"/>
          <w:sz w:val="32"/>
          <w:szCs w:val="32"/>
          <w:highlight w:val="none"/>
        </w:rPr>
      </w:pPr>
    </w:p>
    <w:p>
      <w:pPr>
        <w:pStyle w:val="4"/>
        <w:ind w:firstLine="0"/>
        <w:rPr>
          <w:rFonts w:ascii="仿宋_GB2312" w:hAnsi="黑体" w:eastAsia="仿宋_GB2312" w:cs="宋体"/>
          <w:color w:val="auto"/>
          <w:sz w:val="32"/>
          <w:szCs w:val="32"/>
          <w:highlight w:val="none"/>
        </w:rPr>
      </w:pPr>
    </w:p>
    <w:p>
      <w:pPr>
        <w:pStyle w:val="4"/>
        <w:ind w:firstLine="0"/>
        <w:rPr>
          <w:rFonts w:ascii="仿宋_GB2312" w:hAnsi="黑体" w:eastAsia="仿宋_GB2312" w:cs="宋体"/>
          <w:color w:val="auto"/>
          <w:sz w:val="32"/>
          <w:szCs w:val="32"/>
          <w:highlight w:val="none"/>
        </w:rPr>
      </w:pPr>
    </w:p>
    <w:p>
      <w:pPr>
        <w:pStyle w:val="4"/>
        <w:ind w:firstLine="0"/>
        <w:rPr>
          <w:rFonts w:ascii="仿宋_GB2312" w:hAnsi="黑体" w:eastAsia="仿宋_GB2312" w:cs="宋体"/>
          <w:color w:val="auto"/>
          <w:sz w:val="32"/>
          <w:szCs w:val="32"/>
          <w:highlight w:val="none"/>
        </w:rPr>
      </w:pPr>
    </w:p>
    <w:p>
      <w:pPr>
        <w:pStyle w:val="4"/>
        <w:ind w:firstLine="0"/>
        <w:rPr>
          <w:rFonts w:ascii="仿宋_GB2312" w:hAnsi="黑体" w:eastAsia="仿宋_GB2312" w:cs="宋体"/>
          <w:color w:val="auto"/>
          <w:sz w:val="32"/>
          <w:szCs w:val="32"/>
          <w:highlight w:val="none"/>
        </w:rPr>
      </w:pPr>
    </w:p>
    <w:p>
      <w:pPr>
        <w:pStyle w:val="4"/>
        <w:ind w:firstLine="0"/>
        <w:rPr>
          <w:rFonts w:ascii="仿宋_GB2312" w:hAnsi="黑体" w:eastAsia="仿宋_GB2312" w:cs="宋体"/>
          <w:color w:val="auto"/>
          <w:sz w:val="32"/>
          <w:szCs w:val="32"/>
          <w:highlight w:val="none"/>
        </w:rPr>
      </w:pPr>
    </w:p>
    <w:p>
      <w:pPr>
        <w:pStyle w:val="4"/>
        <w:ind w:firstLine="0"/>
        <w:rPr>
          <w:rFonts w:ascii="仿宋_GB2312" w:hAnsi="黑体" w:eastAsia="仿宋_GB2312" w:cs="宋体"/>
          <w:color w:val="auto"/>
          <w:sz w:val="32"/>
          <w:szCs w:val="32"/>
          <w:highlight w:val="none"/>
        </w:rPr>
      </w:pPr>
    </w:p>
    <w:p>
      <w:pPr>
        <w:pStyle w:val="2"/>
        <w:keepNext w:val="0"/>
        <w:keepLines w:val="0"/>
        <w:widowControl/>
        <w:spacing w:beforeLines="50" w:afterLines="50" w:line="480" w:lineRule="exact"/>
        <w:jc w:val="center"/>
        <w:rPr>
          <w:rFonts w:ascii="宋体" w:hAnsi="宋体" w:eastAsia="宋体" w:cs="宋体"/>
          <w:color w:val="auto"/>
          <w:kern w:val="2"/>
          <w:sz w:val="36"/>
          <w:highlight w:val="none"/>
          <w:shd w:val="clear" w:color="auto" w:fill="FFFFFF"/>
        </w:rPr>
      </w:pPr>
      <w:r>
        <w:rPr>
          <w:rFonts w:hint="eastAsia" w:ascii="宋体" w:hAnsi="宋体" w:eastAsia="宋体" w:cs="宋体"/>
          <w:color w:val="auto"/>
          <w:kern w:val="2"/>
          <w:sz w:val="36"/>
          <w:highlight w:val="none"/>
          <w:shd w:val="clear" w:color="auto" w:fill="FFFFFF"/>
        </w:rPr>
        <w:t>第二章  参选须知</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5" w:name="_Toc3299069"/>
      <w:bookmarkStart w:id="6" w:name="_Toc3299256"/>
      <w:bookmarkStart w:id="7" w:name="_Toc23828"/>
      <w:r>
        <w:rPr>
          <w:rFonts w:hint="eastAsia" w:ascii="宋体" w:hAnsi="宋体" w:eastAsia="宋体" w:cs="宋体"/>
          <w:b/>
          <w:bCs/>
          <w:color w:val="auto"/>
          <w:sz w:val="24"/>
          <w:szCs w:val="24"/>
          <w:highlight w:val="none"/>
          <w:shd w:val="clear" w:color="auto" w:fill="FFFFFF"/>
        </w:rPr>
        <w:t>一、总则</w:t>
      </w:r>
      <w:bookmarkEnd w:id="5"/>
      <w:bookmarkEnd w:id="6"/>
      <w:bookmarkEnd w:id="7"/>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8" w:name="_Toc3299070"/>
      <w:bookmarkStart w:id="9" w:name="_Toc3299257"/>
      <w:bookmarkStart w:id="10" w:name="_Toc6401"/>
      <w:r>
        <w:rPr>
          <w:rFonts w:hint="eastAsia" w:ascii="宋体" w:hAnsi="宋体" w:eastAsia="宋体" w:cs="宋体"/>
          <w:color w:val="auto"/>
          <w:sz w:val="24"/>
          <w:szCs w:val="24"/>
          <w:highlight w:val="none"/>
          <w:shd w:val="clear" w:color="auto" w:fill="FFFFFF"/>
        </w:rPr>
        <w:t>1. 适用范围</w:t>
      </w:r>
      <w:bookmarkEnd w:id="8"/>
      <w:bookmarkEnd w:id="9"/>
      <w:bookmarkEnd w:id="10"/>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 本文件仅适用于本文件中所叙述的服务类遴选项目。</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11" w:name="_Toc9026"/>
      <w:bookmarkStart w:id="12" w:name="_Toc3299071"/>
      <w:bookmarkStart w:id="13" w:name="_Toc3299258"/>
      <w:r>
        <w:rPr>
          <w:rFonts w:hint="eastAsia" w:ascii="宋体" w:hAnsi="宋体" w:eastAsia="宋体" w:cs="宋体"/>
          <w:color w:val="auto"/>
          <w:sz w:val="24"/>
          <w:szCs w:val="24"/>
          <w:highlight w:val="none"/>
          <w:shd w:val="clear" w:color="auto" w:fill="FFFFFF"/>
        </w:rPr>
        <w:t>2. 定义</w:t>
      </w:r>
      <w:bookmarkEnd w:id="11"/>
      <w:bookmarkEnd w:id="12"/>
      <w:bookmarkEnd w:id="13"/>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2.1 “遴选人”是指：黄石市国有资产经营有限公司 </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 “参选人”是指获得该项目评选小组确定参加遴选的法人或者其他组织。如果该参选人在本次采购中选,即成为“中选人”。</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2.3 “服务”是指按本文件规定提供的所有服务。</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2.4 “参选文件”是指：参选人根据本文件要求编制包含报价、技术和服务等所有内容的文件。</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14" w:name="_Toc29910"/>
      <w:bookmarkStart w:id="15" w:name="_Toc3299072"/>
      <w:bookmarkStart w:id="16" w:name="_Toc3299259"/>
      <w:r>
        <w:rPr>
          <w:rFonts w:hint="eastAsia" w:ascii="宋体" w:hAnsi="宋体" w:eastAsia="宋体" w:cs="宋体"/>
          <w:color w:val="auto"/>
          <w:sz w:val="24"/>
          <w:szCs w:val="24"/>
          <w:highlight w:val="none"/>
          <w:shd w:val="clear" w:color="auto" w:fill="FFFFFF"/>
        </w:rPr>
        <w:t>3. 参选人的基本条件</w:t>
      </w:r>
      <w:bookmarkEnd w:id="14"/>
      <w:bookmarkEnd w:id="15"/>
      <w:bookmarkEnd w:id="16"/>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3.1本文件第一章第四条的要求。</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3.2如经营、开发或承担本类项目的货物和服务，国家有相关资质要求的，参选人必须已经取得并出具相应的资质证书。</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3.3参选人必须具有履行合同所必需的财务、技术、人员和服务能力,并能按本文件的要求提供技术服务。</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3.4参选人应具有本项目采购服务的经验，并提供相关的证明文件和资料。</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3.5 若本项目采购的技术服务国家有强制性规范或行业标准要求的，参选人必须提供能实施该种服务的认证证书。</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3.6 参选人不得与遴选人有任何隶属关系或其他利益关系。</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17" w:name="_Toc28609"/>
      <w:bookmarkStart w:id="18" w:name="_Toc3299073"/>
      <w:bookmarkStart w:id="19" w:name="_Toc3299260"/>
      <w:r>
        <w:rPr>
          <w:rFonts w:hint="eastAsia" w:ascii="宋体" w:hAnsi="宋体" w:eastAsia="宋体" w:cs="宋体"/>
          <w:color w:val="auto"/>
          <w:sz w:val="24"/>
          <w:szCs w:val="24"/>
          <w:highlight w:val="none"/>
          <w:shd w:val="clear" w:color="auto" w:fill="FFFFFF"/>
        </w:rPr>
        <w:t>4. 费用</w:t>
      </w:r>
      <w:bookmarkEnd w:id="17"/>
      <w:bookmarkEnd w:id="18"/>
      <w:bookmarkEnd w:id="19"/>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20" w:name="_Toc3299261"/>
      <w:bookmarkStart w:id="21" w:name="_Toc3299074"/>
      <w:r>
        <w:rPr>
          <w:rFonts w:hint="eastAsia" w:ascii="宋体" w:hAnsi="宋体" w:eastAsia="宋体" w:cs="宋体"/>
          <w:color w:val="auto"/>
          <w:sz w:val="24"/>
          <w:szCs w:val="24"/>
          <w:highlight w:val="none"/>
          <w:shd w:val="clear" w:color="auto" w:fill="FFFFFF"/>
        </w:rPr>
        <w:t>4.1参选人应自行承担所有与编写和提交参选文件有关的费用，不论采购结果如何，遴选人在任何情况下无义务和责任承担此类费用。</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22" w:name="_Toc11772"/>
      <w:r>
        <w:rPr>
          <w:rFonts w:hint="eastAsia" w:ascii="宋体" w:hAnsi="宋体" w:eastAsia="宋体" w:cs="宋体"/>
          <w:b/>
          <w:bCs/>
          <w:color w:val="auto"/>
          <w:sz w:val="24"/>
          <w:szCs w:val="24"/>
          <w:highlight w:val="none"/>
          <w:shd w:val="clear" w:color="auto" w:fill="FFFFFF"/>
        </w:rPr>
        <w:t>二、参选文件的编制</w:t>
      </w:r>
      <w:bookmarkEnd w:id="20"/>
      <w:bookmarkEnd w:id="21"/>
      <w:bookmarkEnd w:id="22"/>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23" w:name="_Toc3299075"/>
      <w:bookmarkStart w:id="24" w:name="_Toc11401"/>
      <w:bookmarkStart w:id="25" w:name="_Toc3299262"/>
      <w:r>
        <w:rPr>
          <w:rFonts w:hint="eastAsia" w:ascii="宋体" w:hAnsi="宋体" w:eastAsia="宋体" w:cs="宋体"/>
          <w:color w:val="auto"/>
          <w:sz w:val="24"/>
          <w:szCs w:val="24"/>
          <w:highlight w:val="none"/>
          <w:shd w:val="clear" w:color="auto" w:fill="FFFFFF"/>
        </w:rPr>
        <w:t>5. 参选文件编制基本要求</w:t>
      </w:r>
      <w:bookmarkEnd w:id="23"/>
      <w:bookmarkEnd w:id="24"/>
      <w:bookmarkEnd w:id="25"/>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w:t>
      </w:r>
      <w:r>
        <w:rPr>
          <w:rFonts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rPr>
        <w:t>参选文件的组成</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不限于以下内容,应该有的必须提供,如未提供,评选小组有权拒绝其参选文件：</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参选文件包括下列内容</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（1）参选函；</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（2）法定代表人资格证明书或法人代表授权委托书原件及身份证复印件；</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（3）近三年无重大违法记录声明；</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（4）参选报价一览表；</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（5）技术部分证明资料；</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（6）商务部分证明资料；</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（7）其他遴选文件要求提供的相关资料。</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26" w:name="_Toc3299263"/>
      <w:bookmarkStart w:id="27" w:name="_Toc3299076"/>
      <w:bookmarkStart w:id="28" w:name="_Toc29340"/>
      <w:r>
        <w:rPr>
          <w:rFonts w:hint="eastAsia" w:ascii="宋体" w:hAnsi="宋体" w:eastAsia="宋体" w:cs="宋体"/>
          <w:color w:val="auto"/>
          <w:sz w:val="24"/>
          <w:szCs w:val="24"/>
          <w:highlight w:val="none"/>
          <w:shd w:val="clear" w:color="auto" w:fill="FFFFFF"/>
        </w:rPr>
        <w:t>6、计量单位</w:t>
      </w:r>
      <w:bookmarkEnd w:id="26"/>
      <w:bookmarkEnd w:id="27"/>
      <w:bookmarkEnd w:id="28"/>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6.1除技术要求中另有规定外，本文件所使用的计量单位均应采用国家法定计量单位。</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29" w:name="_Toc3299077"/>
      <w:bookmarkStart w:id="30" w:name="_Toc3299264"/>
      <w:bookmarkStart w:id="31" w:name="_Toc21219"/>
      <w:r>
        <w:rPr>
          <w:rFonts w:hint="eastAsia" w:ascii="宋体" w:hAnsi="宋体" w:eastAsia="宋体" w:cs="宋体"/>
          <w:b/>
          <w:bCs/>
          <w:color w:val="auto"/>
          <w:sz w:val="24"/>
          <w:szCs w:val="24"/>
          <w:highlight w:val="none"/>
          <w:shd w:val="clear" w:color="auto" w:fill="FFFFFF"/>
        </w:rPr>
        <w:t>三、报价有效期</w:t>
      </w:r>
      <w:bookmarkEnd w:id="29"/>
      <w:bookmarkEnd w:id="30"/>
      <w:bookmarkEnd w:id="31"/>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7. 本项目参选有效期为规定的遴选之日起</w:t>
      </w:r>
      <w:r>
        <w:rPr>
          <w:rFonts w:hint="eastAsia" w:ascii="宋体" w:hAnsi="宋体" w:eastAsia="宋体" w:cs="宋体"/>
          <w:color w:val="auto"/>
          <w:sz w:val="24"/>
          <w:szCs w:val="24"/>
          <w:highlight w:val="none"/>
          <w:shd w:val="clear" w:color="auto" w:fill="FFFFFF"/>
          <w:lang w:val="en-US" w:eastAsia="zh-CN"/>
        </w:rPr>
        <w:t>10</w:t>
      </w:r>
      <w:r>
        <w:rPr>
          <w:rFonts w:hint="eastAsia" w:ascii="宋体" w:hAnsi="宋体" w:eastAsia="宋体" w:cs="宋体"/>
          <w:color w:val="auto"/>
          <w:sz w:val="24"/>
          <w:szCs w:val="24"/>
          <w:highlight w:val="none"/>
          <w:shd w:val="clear" w:color="auto" w:fill="FFFFFF"/>
        </w:rPr>
        <w:t>个日历日，在此期间内参选文件有效。采购结束后，在有效期内参选人不得改变参选报价、服务期及承诺的全部义务。参选有效期比本文件规定短的，将视参选文件无效予以拒绝。</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8. 在特殊情况下，在原参选有效期满之前，遴选人可向参选人提出延长参选有效期的要求。这种要求与答复均应采用书面形式。参选人可以拒绝遴选人的要求。同意延长参选有效期的参选人不允许修改其参选文件。</w:t>
      </w:r>
    </w:p>
    <w:p>
      <w:pPr>
        <w:widowControl/>
        <w:spacing w:line="600" w:lineRule="atLeast"/>
        <w:ind w:firstLine="482" w:firstLineChars="200"/>
        <w:rPr>
          <w:rFonts w:ascii="宋体" w:hAnsi="宋体" w:eastAsia="宋体" w:cs="宋体"/>
          <w:color w:val="auto"/>
          <w:sz w:val="24"/>
          <w:szCs w:val="24"/>
          <w:highlight w:val="none"/>
          <w:shd w:val="clear" w:color="auto" w:fill="FFFFFF"/>
        </w:rPr>
      </w:pPr>
      <w:bookmarkStart w:id="32" w:name="_Toc29561"/>
      <w:bookmarkStart w:id="33" w:name="_Toc3299078"/>
      <w:bookmarkStart w:id="34" w:name="_Toc3299265"/>
      <w:r>
        <w:rPr>
          <w:rFonts w:hint="eastAsia" w:ascii="宋体" w:hAnsi="宋体" w:eastAsia="宋体" w:cs="宋体"/>
          <w:b/>
          <w:bCs/>
          <w:color w:val="auto"/>
          <w:sz w:val="24"/>
          <w:szCs w:val="24"/>
          <w:highlight w:val="none"/>
          <w:shd w:val="clear" w:color="auto" w:fill="FFFFFF"/>
        </w:rPr>
        <w:t>四、保证金</w:t>
      </w:r>
      <w:bookmarkEnd w:id="32"/>
      <w:bookmarkEnd w:id="33"/>
      <w:bookmarkEnd w:id="34"/>
      <w:r>
        <w:rPr>
          <w:rFonts w:hint="eastAsia" w:ascii="宋体" w:hAnsi="宋体" w:eastAsia="宋体" w:cs="宋体"/>
          <w:color w:val="auto"/>
          <w:sz w:val="24"/>
          <w:szCs w:val="24"/>
          <w:highlight w:val="none"/>
          <w:shd w:val="clear" w:color="auto" w:fill="FFFFFF"/>
        </w:rPr>
        <w:tab/>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ascii="宋体" w:hAnsi="宋体" w:eastAsia="宋体" w:cs="宋体"/>
          <w:color w:val="auto"/>
          <w:sz w:val="24"/>
          <w:szCs w:val="24"/>
          <w:highlight w:val="none"/>
          <w:shd w:val="clear" w:color="auto" w:fill="FFFFFF"/>
        </w:rPr>
        <w:t>9.</w:t>
      </w:r>
      <w:r>
        <w:rPr>
          <w:rFonts w:hint="eastAsia" w:ascii="宋体" w:hAnsi="宋体" w:eastAsia="宋体" w:cs="宋体"/>
          <w:color w:val="auto"/>
          <w:sz w:val="24"/>
          <w:szCs w:val="24"/>
          <w:highlight w:val="none"/>
          <w:shd w:val="clear" w:color="auto" w:fill="FFFFFF"/>
        </w:rPr>
        <w:t xml:space="preserve">本项目不收取保证金。 </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35" w:name="_Toc3299267"/>
      <w:bookmarkStart w:id="36" w:name="_Toc678"/>
      <w:bookmarkStart w:id="37" w:name="_Toc3299080"/>
      <w:r>
        <w:rPr>
          <w:rFonts w:hint="eastAsia" w:ascii="宋体" w:hAnsi="宋体" w:eastAsia="宋体" w:cs="宋体"/>
          <w:b/>
          <w:bCs/>
          <w:color w:val="auto"/>
          <w:sz w:val="24"/>
          <w:szCs w:val="24"/>
          <w:highlight w:val="none"/>
          <w:shd w:val="clear" w:color="auto" w:fill="FFFFFF"/>
        </w:rPr>
        <w:t>五、应答报价</w:t>
      </w:r>
      <w:bookmarkEnd w:id="35"/>
      <w:bookmarkEnd w:id="36"/>
      <w:bookmarkEnd w:id="37"/>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10.报价以人民币报价。</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11.对于本文件中未列明而参选人认为必需的费用也需列入总报价。在合同实施时，遴选人将不予支付中选人没有列入的项目费用，并认为此项目的费用已包括在总报价中。</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38" w:name="_Toc3299081"/>
      <w:bookmarkStart w:id="39" w:name="_Toc3299268"/>
      <w:bookmarkStart w:id="40" w:name="_Toc8901"/>
      <w:r>
        <w:rPr>
          <w:rFonts w:hint="eastAsia" w:ascii="宋体" w:hAnsi="宋体" w:eastAsia="宋体" w:cs="宋体"/>
          <w:b/>
          <w:bCs/>
          <w:color w:val="auto"/>
          <w:sz w:val="24"/>
          <w:szCs w:val="24"/>
          <w:highlight w:val="none"/>
          <w:shd w:val="clear" w:color="auto" w:fill="FFFFFF"/>
        </w:rPr>
        <w:t>六、参选文件的份数、封装和递交</w:t>
      </w:r>
      <w:bookmarkEnd w:id="38"/>
      <w:bookmarkEnd w:id="39"/>
      <w:bookmarkEnd w:id="40"/>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41" w:name="_Toc14368"/>
      <w:bookmarkStart w:id="42" w:name="_Toc3299269"/>
      <w:bookmarkStart w:id="43" w:name="_Toc3299082"/>
      <w:r>
        <w:rPr>
          <w:rFonts w:hint="eastAsia" w:ascii="宋体" w:hAnsi="宋体" w:eastAsia="宋体" w:cs="宋体"/>
          <w:color w:val="auto"/>
          <w:sz w:val="24"/>
          <w:szCs w:val="24"/>
          <w:highlight w:val="none"/>
          <w:shd w:val="clear" w:color="auto" w:fill="FFFFFF"/>
        </w:rPr>
        <w:t>12. 参选文件的份数和封装</w:t>
      </w:r>
      <w:bookmarkEnd w:id="41"/>
      <w:bookmarkEnd w:id="42"/>
      <w:bookmarkEnd w:id="43"/>
    </w:p>
    <w:p>
      <w:pPr>
        <w:widowControl/>
        <w:spacing w:line="600" w:lineRule="atLeas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12.1参选文件</w:t>
      </w:r>
      <w:r>
        <w:rPr>
          <w:rFonts w:hint="eastAsia" w:ascii="宋体" w:hAnsi="宋体" w:eastAsia="宋体" w:cs="宋体"/>
          <w:color w:val="auto"/>
          <w:sz w:val="24"/>
          <w:szCs w:val="24"/>
          <w:highlight w:val="none"/>
          <w:shd w:val="clear" w:color="auto" w:fill="FFFFFF"/>
          <w:lang w:eastAsia="zh-CN"/>
        </w:rPr>
        <w:t>纸质版</w:t>
      </w:r>
      <w:r>
        <w:rPr>
          <w:rFonts w:hint="eastAsia" w:ascii="宋体" w:hAnsi="宋体" w:eastAsia="宋体" w:cs="宋体"/>
          <w:color w:val="auto"/>
          <w:sz w:val="24"/>
          <w:szCs w:val="24"/>
          <w:highlight w:val="none"/>
          <w:shd w:val="clear" w:color="auto" w:fill="FFFFFF"/>
        </w:rPr>
        <w:t>一式贰份，其中正本壹份，副本壹份。并提供电子投标文件一份，用可存储设备（U盘等）储存，与纸质投标文件一起封装。</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12.2参选文件正本须用不能擦去的墨水书面或打印。参选文件附件可以复印，其正、副本都应装订成册，并在封面上正确标明“正本”、“副本”字样。</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44" w:name="_Toc3299270"/>
      <w:bookmarkStart w:id="45" w:name="_Toc15064"/>
      <w:bookmarkStart w:id="46" w:name="_Toc3299083"/>
      <w:r>
        <w:rPr>
          <w:rFonts w:hint="eastAsia" w:ascii="宋体" w:hAnsi="宋体" w:eastAsia="宋体" w:cs="宋体"/>
          <w:color w:val="auto"/>
          <w:sz w:val="24"/>
          <w:szCs w:val="24"/>
          <w:highlight w:val="none"/>
          <w:shd w:val="clear" w:color="auto" w:fill="FFFFFF"/>
        </w:rPr>
        <w:t>13. 参选文件的递交</w:t>
      </w:r>
      <w:bookmarkEnd w:id="44"/>
      <w:bookmarkEnd w:id="45"/>
      <w:bookmarkEnd w:id="46"/>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13.1所有参选文件应于第一章“遴选公告”中规定的时间前递交到指定地点。</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47" w:name="_Toc16011"/>
      <w:bookmarkStart w:id="48" w:name="_Toc3299084"/>
      <w:bookmarkStart w:id="49" w:name="_Toc3299271"/>
      <w:r>
        <w:rPr>
          <w:rFonts w:hint="eastAsia" w:ascii="宋体" w:hAnsi="宋体" w:eastAsia="宋体" w:cs="宋体"/>
          <w:color w:val="auto"/>
          <w:sz w:val="24"/>
          <w:szCs w:val="24"/>
          <w:highlight w:val="none"/>
          <w:shd w:val="clear" w:color="auto" w:fill="FFFFFF"/>
        </w:rPr>
        <w:t>14. 迟交的参选文件</w:t>
      </w:r>
      <w:bookmarkEnd w:id="47"/>
      <w:bookmarkEnd w:id="48"/>
      <w:bookmarkEnd w:id="49"/>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遴选人拒绝或原封退回在其规定的递交参选文件截止时间之后收到的任何参选文件。</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15.当参选文件出现下列情形之一时，应作为无效参选文件，不得进入实质性评选过程。</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1.参选文件未按照遴选文件的要求予以密封的；</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2.参选文件中的相应部位未加盖参选人的企业及企业法定代表印章的，或者企业法定代表人委托代理人没有合法、有效的委托书或委托代理人印章的；</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3.参选文件的关键内容字迹模糊、无法辨认的；</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50" w:name="_Toc3299272"/>
      <w:bookmarkStart w:id="51" w:name="_Toc3299085"/>
      <w:bookmarkStart w:id="52" w:name="_Toc21331"/>
      <w:r>
        <w:rPr>
          <w:rFonts w:hint="eastAsia" w:ascii="宋体" w:hAnsi="宋体" w:eastAsia="宋体" w:cs="宋体"/>
          <w:color w:val="auto"/>
          <w:sz w:val="24"/>
          <w:szCs w:val="24"/>
          <w:highlight w:val="none"/>
          <w:shd w:val="clear" w:color="auto" w:fill="FFFFFF"/>
        </w:rPr>
        <w:t>16.参选文件的澄清</w:t>
      </w:r>
      <w:bookmarkEnd w:id="50"/>
      <w:bookmarkEnd w:id="51"/>
      <w:bookmarkEnd w:id="52"/>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16.1在遴选过程中，评选小组认为需要，可以要求参选人对参选文件中含义不明确、对同类问题表述不一致或者有明显文字和计算错误的内容，进行澄清或提供补充说明及有关资料，参选人应在评选结束前用书面形式进行澄清或者说明，其澄清或者说明不得超出参选文件的范围或者变更应答报价、供货期、质量等实质性内容。</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参选文件中的大写金额和小写金额不一致的，以大写金额为准；总价金额与单价金额不一致的，以单价金额为准；但单价金额小数点有明显错误的除外。</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书面答复须经参选人法定代表或其委托代理人签字或加盖印鉴，签字或加盖印鉴的书面答复将视为参选文件的组成部分。提交参选文件截止时间后，参选人对应答报价或其他实质性内容修正的函件，一律不得作为遴选、中选的依据。</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53" w:name="_Toc3299086"/>
      <w:bookmarkStart w:id="54" w:name="_Toc3299273"/>
      <w:bookmarkStart w:id="55" w:name="_Toc11014"/>
      <w:r>
        <w:rPr>
          <w:rFonts w:hint="eastAsia" w:ascii="宋体" w:hAnsi="宋体" w:eastAsia="宋体" w:cs="宋体"/>
          <w:b/>
          <w:bCs/>
          <w:color w:val="auto"/>
          <w:sz w:val="24"/>
          <w:szCs w:val="24"/>
          <w:highlight w:val="none"/>
          <w:shd w:val="clear" w:color="auto" w:fill="FFFFFF"/>
        </w:rPr>
        <w:t>七、评选小组的组成</w:t>
      </w:r>
      <w:bookmarkEnd w:id="53"/>
      <w:bookmarkEnd w:id="54"/>
      <w:bookmarkEnd w:id="55"/>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17.1本次采购由遴选人代表组建评选小组。</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17.2评选小组全面负责确定参选人名单、参选文件的评审、遴选、质疑投诉处理等工作。</w:t>
      </w:r>
    </w:p>
    <w:p>
      <w:pPr>
        <w:widowControl/>
        <w:spacing w:line="600" w:lineRule="atLeast"/>
        <w:ind w:firstLine="482" w:firstLineChars="200"/>
        <w:rPr>
          <w:rFonts w:ascii="宋体" w:hAnsi="宋体" w:eastAsia="宋体" w:cs="宋体"/>
          <w:b/>
          <w:bCs/>
          <w:color w:val="auto"/>
          <w:sz w:val="24"/>
          <w:szCs w:val="24"/>
          <w:highlight w:val="none"/>
          <w:shd w:val="clear" w:color="auto" w:fill="FFFFFF"/>
        </w:rPr>
      </w:pPr>
      <w:bookmarkStart w:id="56" w:name="_Toc3299087"/>
      <w:bookmarkStart w:id="57" w:name="_Toc16570"/>
      <w:bookmarkStart w:id="58" w:name="_Toc3299274"/>
      <w:r>
        <w:rPr>
          <w:rFonts w:hint="eastAsia" w:ascii="宋体" w:hAnsi="宋体" w:eastAsia="宋体" w:cs="宋体"/>
          <w:b/>
          <w:bCs/>
          <w:color w:val="auto"/>
          <w:sz w:val="24"/>
          <w:szCs w:val="24"/>
          <w:highlight w:val="none"/>
          <w:shd w:val="clear" w:color="auto" w:fill="FFFFFF"/>
        </w:rPr>
        <w:t>八、遴选程序</w:t>
      </w:r>
      <w:bookmarkEnd w:id="56"/>
      <w:bookmarkEnd w:id="57"/>
      <w:bookmarkEnd w:id="58"/>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18.评选小组根据遴选文件规定的参选人资格条件、评定中选的标准等事项对参选人提交的参选文件进行评选，资格性评审不符合遴选文件要求的参选文件按无效文件处理，并告知有关参选人。</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19.评选小组将按参选排序逐一与参选人分别就技术、商务进行评审。在遴选过程中，评选小组应当严格遵循保密原则，未经参选人同意不得向任何人透露当事人技术、商务和其他重要信息。（遴选文件有实质性变动的，评选小组以书面的形式通知所有参加遴选的参选人）。</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59" w:name="_Toc3299276"/>
      <w:bookmarkStart w:id="60" w:name="_Toc19555"/>
      <w:bookmarkStart w:id="61" w:name="_Toc3299089"/>
      <w:r>
        <w:rPr>
          <w:rFonts w:hint="eastAsia" w:ascii="宋体" w:hAnsi="宋体" w:eastAsia="宋体" w:cs="宋体"/>
          <w:color w:val="auto"/>
          <w:sz w:val="24"/>
          <w:szCs w:val="24"/>
          <w:highlight w:val="none"/>
          <w:shd w:val="clear" w:color="auto" w:fill="FFFFFF"/>
        </w:rPr>
        <w:t>20.评选小组综合评议</w:t>
      </w:r>
      <w:bookmarkEnd w:id="59"/>
      <w:bookmarkEnd w:id="60"/>
      <w:bookmarkEnd w:id="61"/>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对提供产品质量、服务均能满足遴选文件规定最低要求的参选人根据评选标准进行综合评议。</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评选小组认为参选人的报价明显低于其他通过符合性审查参选人的报价，有可能影响产品质量或者不能诚信履约的， 应当要求其在合理的时间内提供书面说明，必要时提交相关证明材料，参选人不能证明其报价合理性的，评选小组应当将其作为无效参选处理。</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评选小组根据遴选文件要求，在满足符合性审查的前提下，对价格部分、技术部分、商务部分实行评选小组署名评选打分，平均值为该项得分。</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统分原则：参选人最终得分=价格分值得分+技术分值得分+商务分值得分（所有得分四舍五入取小数点后两位）</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评选总得分按由高到低依次排序；总得分相同时，以报价低者优先；总得分相同、报价也相同，以技术部分得分高者优先。</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62" w:name="_Toc3299090"/>
      <w:bookmarkStart w:id="63" w:name="_Toc3299277"/>
      <w:r>
        <w:rPr>
          <w:rFonts w:hint="eastAsia" w:ascii="宋体" w:hAnsi="宋体" w:eastAsia="宋体" w:cs="宋体"/>
          <w:color w:val="auto"/>
          <w:sz w:val="24"/>
          <w:szCs w:val="24"/>
          <w:highlight w:val="none"/>
          <w:shd w:val="clear" w:color="auto" w:fill="FFFFFF"/>
        </w:rPr>
        <w:t>21.评选标准</w:t>
      </w:r>
      <w:bookmarkEnd w:id="62"/>
      <w:bookmarkEnd w:id="63"/>
    </w:p>
    <w:p>
      <w:pPr>
        <w:widowControl/>
        <w:spacing w:line="600" w:lineRule="atLeast"/>
        <w:ind w:firstLine="480" w:firstLineChars="200"/>
        <w:rPr>
          <w:rFonts w:ascii="宋体" w:hAnsi="宋体" w:eastAsia="宋体" w:cs="宋体"/>
          <w:color w:val="auto"/>
          <w:sz w:val="24"/>
          <w:szCs w:val="24"/>
          <w:highlight w:val="none"/>
          <w:shd w:val="clear" w:color="auto" w:fill="FFFFFF"/>
        </w:rPr>
      </w:pPr>
    </w:p>
    <w:p>
      <w:pPr>
        <w:pStyle w:val="4"/>
        <w:ind w:firstLine="0"/>
        <w:rPr>
          <w:color w:val="auto"/>
          <w:highlight w:val="none"/>
        </w:rPr>
      </w:pPr>
    </w:p>
    <w:tbl>
      <w:tblPr>
        <w:tblStyle w:val="15"/>
        <w:tblW w:w="5229" w:type="pct"/>
        <w:tblInd w:w="0" w:type="dxa"/>
        <w:tblLayout w:type="autofit"/>
        <w:tblCellMar>
          <w:top w:w="0" w:type="dxa"/>
          <w:left w:w="0" w:type="dxa"/>
          <w:bottom w:w="0" w:type="dxa"/>
          <w:right w:w="0" w:type="dxa"/>
        </w:tblCellMar>
      </w:tblPr>
      <w:tblGrid>
        <w:gridCol w:w="1083"/>
        <w:gridCol w:w="914"/>
        <w:gridCol w:w="507"/>
        <w:gridCol w:w="6214"/>
      </w:tblGrid>
      <w:tr>
        <w:tblPrEx>
          <w:tblCellMar>
            <w:top w:w="0" w:type="dxa"/>
            <w:left w:w="0" w:type="dxa"/>
            <w:bottom w:w="0" w:type="dxa"/>
            <w:right w:w="0" w:type="dxa"/>
          </w:tblCellMar>
        </w:tblPrEx>
        <w:trPr>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评分表</w:t>
            </w:r>
          </w:p>
        </w:tc>
      </w:tr>
      <w:tr>
        <w:tblPrEx>
          <w:tblCellMar>
            <w:top w:w="0" w:type="dxa"/>
            <w:left w:w="0" w:type="dxa"/>
            <w:bottom w:w="0" w:type="dxa"/>
            <w:right w:w="0" w:type="dxa"/>
          </w:tblCellMar>
        </w:tblPrEx>
        <w:trPr>
          <w:trHeight w:val="285"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highlight w:val="none"/>
              </w:rPr>
            </w:pPr>
            <w:r>
              <w:rPr>
                <w:rFonts w:ascii="仿宋_GB2312" w:hAnsi="等线" w:eastAsia="仿宋_GB2312" w:cs="仿宋_GB2312"/>
                <w:color w:val="auto"/>
                <w:kern w:val="0"/>
                <w:sz w:val="24"/>
                <w:szCs w:val="24"/>
                <w:highlight w:val="none"/>
              </w:rPr>
              <w:t>评审</w:t>
            </w: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项目</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hint="eastAsia" w:ascii="仿宋_GB2312" w:hAnsi="等线" w:eastAsia="仿宋_GB2312" w:cs="仿宋_GB2312"/>
                <w:color w:val="auto"/>
                <w:sz w:val="24"/>
                <w:szCs w:val="24"/>
                <w:highlight w:val="none"/>
              </w:rPr>
              <w:t>评选</w:t>
            </w:r>
          </w:p>
          <w:p>
            <w:pPr>
              <w:widowControl/>
              <w:jc w:val="center"/>
              <w:textAlignment w:val="center"/>
              <w:rPr>
                <w:rFonts w:ascii="仿宋_GB2312" w:hAnsi="等线" w:eastAsia="仿宋_GB2312" w:cs="仿宋_GB2312"/>
                <w:color w:val="auto"/>
                <w:sz w:val="24"/>
                <w:szCs w:val="24"/>
                <w:highlight w:val="none"/>
              </w:rPr>
            </w:pPr>
            <w:r>
              <w:rPr>
                <w:rFonts w:hint="eastAsia" w:ascii="仿宋_GB2312" w:hAnsi="等线" w:eastAsia="仿宋_GB2312" w:cs="仿宋_GB2312"/>
                <w:color w:val="auto"/>
                <w:sz w:val="24"/>
                <w:szCs w:val="24"/>
                <w:highlight w:val="none"/>
              </w:rPr>
              <w:t>项目</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分值</w:t>
            </w:r>
          </w:p>
        </w:tc>
        <w:tc>
          <w:tcPr>
            <w:tcW w:w="3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评选标准及细则</w:t>
            </w:r>
          </w:p>
        </w:tc>
      </w:tr>
      <w:tr>
        <w:tblPrEx>
          <w:tblCellMar>
            <w:top w:w="0" w:type="dxa"/>
            <w:left w:w="0" w:type="dxa"/>
            <w:bottom w:w="0" w:type="dxa"/>
            <w:right w:w="0" w:type="dxa"/>
          </w:tblCellMar>
        </w:tblPrEx>
        <w:trPr>
          <w:trHeight w:val="972" w:hRule="atLeast"/>
        </w:trPr>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价格部分(40分）</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highlight w:val="none"/>
              </w:rPr>
            </w:pPr>
            <w:r>
              <w:rPr>
                <w:rFonts w:ascii="仿宋_GB2312" w:hAnsi="等线" w:eastAsia="仿宋_GB2312" w:cs="仿宋_GB2312"/>
                <w:color w:val="auto"/>
                <w:kern w:val="0"/>
                <w:sz w:val="24"/>
                <w:szCs w:val="24"/>
                <w:highlight w:val="none"/>
              </w:rPr>
              <w:t>投标</w:t>
            </w: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报价</w:t>
            </w:r>
          </w:p>
        </w:tc>
        <w:tc>
          <w:tcPr>
            <w:tcW w:w="291"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40</w:t>
            </w:r>
          </w:p>
        </w:tc>
        <w:tc>
          <w:tcPr>
            <w:tcW w:w="356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基准价</w:t>
            </w:r>
            <w:r>
              <w:rPr>
                <w:rFonts w:hint="eastAsia" w:ascii="仿宋_GB2312" w:hAnsi="等线" w:eastAsia="仿宋_GB2312" w:cs="仿宋_GB2312"/>
                <w:color w:val="auto"/>
                <w:kern w:val="0"/>
                <w:sz w:val="24"/>
                <w:szCs w:val="24"/>
                <w:highlight w:val="none"/>
                <w:lang w:val="en-US" w:eastAsia="zh-CN"/>
              </w:rPr>
              <w:t>标准</w:t>
            </w:r>
            <w:r>
              <w:rPr>
                <w:rFonts w:ascii="仿宋_GB2312" w:hAnsi="等线" w:eastAsia="仿宋_GB2312" w:cs="仿宋_GB2312"/>
                <w:color w:val="auto"/>
                <w:kern w:val="0"/>
                <w:sz w:val="24"/>
                <w:szCs w:val="24"/>
                <w:highlight w:val="none"/>
              </w:rPr>
              <w:t>：所有有效报价的</w:t>
            </w:r>
            <w:r>
              <w:rPr>
                <w:rFonts w:hint="eastAsia" w:ascii="仿宋_GB2312" w:hAnsi="等线" w:eastAsia="仿宋_GB2312" w:cs="仿宋_GB2312"/>
                <w:color w:val="auto"/>
                <w:kern w:val="0"/>
                <w:sz w:val="24"/>
                <w:szCs w:val="24"/>
                <w:highlight w:val="none"/>
                <w:lang w:val="en-US" w:eastAsia="zh-CN"/>
              </w:rPr>
              <w:t>最低</w:t>
            </w:r>
            <w:r>
              <w:rPr>
                <w:rFonts w:ascii="仿宋_GB2312" w:hAnsi="等线" w:eastAsia="仿宋_GB2312" w:cs="仿宋_GB2312"/>
                <w:color w:val="auto"/>
                <w:kern w:val="0"/>
                <w:sz w:val="24"/>
                <w:szCs w:val="24"/>
                <w:highlight w:val="none"/>
              </w:rPr>
              <w:t>值</w:t>
            </w:r>
            <w:r>
              <w:rPr>
                <w:rFonts w:hint="eastAsia" w:ascii="仿宋_GB2312" w:hAnsi="等线" w:eastAsia="仿宋_GB2312" w:cs="仿宋_GB2312"/>
                <w:color w:val="auto"/>
                <w:kern w:val="0"/>
                <w:sz w:val="24"/>
                <w:szCs w:val="24"/>
                <w:highlight w:val="none"/>
                <w:lang w:eastAsia="zh-CN"/>
              </w:rPr>
              <w:t>（</w:t>
            </w:r>
            <w:r>
              <w:rPr>
                <w:rFonts w:hint="eastAsia" w:ascii="仿宋_GB2312" w:hAnsi="等线" w:eastAsia="仿宋_GB2312" w:cs="仿宋_GB2312"/>
                <w:color w:val="auto"/>
                <w:kern w:val="0"/>
                <w:sz w:val="24"/>
                <w:szCs w:val="24"/>
                <w:highlight w:val="none"/>
                <w:lang w:val="en-US" w:eastAsia="zh-CN"/>
              </w:rPr>
              <w:t>单位：万元</w:t>
            </w:r>
            <w:r>
              <w:rPr>
                <w:rFonts w:hint="eastAsia" w:ascii="仿宋_GB2312" w:hAnsi="等线" w:eastAsia="仿宋_GB2312" w:cs="仿宋_GB2312"/>
                <w:color w:val="auto"/>
                <w:kern w:val="0"/>
                <w:sz w:val="24"/>
                <w:szCs w:val="24"/>
                <w:highlight w:val="none"/>
                <w:lang w:eastAsia="zh-CN"/>
              </w:rPr>
              <w:t>）</w:t>
            </w:r>
          </w:p>
        </w:tc>
      </w:tr>
      <w:tr>
        <w:tblPrEx>
          <w:tblCellMar>
            <w:top w:w="0" w:type="dxa"/>
            <w:left w:w="0" w:type="dxa"/>
            <w:bottom w:w="0" w:type="dxa"/>
            <w:right w:w="0" w:type="dxa"/>
          </w:tblCellMar>
        </w:tblPrEx>
        <w:trPr>
          <w:trHeight w:val="1076" w:hRule="atLeast"/>
        </w:trPr>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291"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35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报价得分=</w:t>
            </w:r>
            <w:r>
              <w:rPr>
                <w:rFonts w:hint="eastAsia" w:ascii="仿宋_GB2312" w:hAnsi="等线" w:eastAsia="仿宋_GB2312" w:cs="仿宋_GB2312"/>
                <w:color w:val="auto"/>
                <w:kern w:val="0"/>
                <w:sz w:val="24"/>
                <w:szCs w:val="24"/>
                <w:highlight w:val="none"/>
                <w:lang w:val="en-US" w:eastAsia="zh-CN"/>
              </w:rPr>
              <w:t>基准价/报价×40。</w:t>
            </w:r>
          </w:p>
        </w:tc>
      </w:tr>
      <w:tr>
        <w:tblPrEx>
          <w:tblCellMar>
            <w:top w:w="0" w:type="dxa"/>
            <w:left w:w="0" w:type="dxa"/>
            <w:bottom w:w="0" w:type="dxa"/>
            <w:right w:w="0" w:type="dxa"/>
          </w:tblCellMar>
        </w:tblPrEx>
        <w:trPr>
          <w:trHeight w:val="2006" w:hRule="atLeast"/>
        </w:trPr>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等线" w:eastAsia="仿宋_GB2312" w:cs="仿宋_GB2312"/>
                <w:color w:val="auto"/>
                <w:kern w:val="0"/>
                <w:sz w:val="24"/>
                <w:szCs w:val="24"/>
                <w:highlight w:val="none"/>
                <w:lang w:eastAsia="zh-CN"/>
              </w:rPr>
            </w:pPr>
            <w:r>
              <w:rPr>
                <w:rFonts w:ascii="仿宋_GB2312" w:hAnsi="等线" w:eastAsia="仿宋_GB2312" w:cs="仿宋_GB2312"/>
                <w:color w:val="auto"/>
                <w:kern w:val="0"/>
                <w:sz w:val="24"/>
                <w:szCs w:val="24"/>
                <w:highlight w:val="none"/>
              </w:rPr>
              <w:t>商务部分</w:t>
            </w:r>
          </w:p>
          <w:p>
            <w:pPr>
              <w:widowControl/>
              <w:jc w:val="center"/>
              <w:textAlignment w:val="center"/>
              <w:rPr>
                <w:rFonts w:hint="eastAsia" w:ascii="仿宋_GB2312" w:hAnsi="等线" w:eastAsia="仿宋_GB2312" w:cs="仿宋_GB2312"/>
                <w:color w:val="auto"/>
                <w:kern w:val="0"/>
                <w:sz w:val="24"/>
                <w:szCs w:val="24"/>
                <w:highlight w:val="none"/>
                <w:lang w:eastAsia="zh-CN"/>
              </w:rPr>
            </w:pP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（35分）</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highlight w:val="none"/>
              </w:rPr>
            </w:pPr>
            <w:r>
              <w:rPr>
                <w:rFonts w:ascii="仿宋_GB2312" w:hAnsi="等线" w:eastAsia="仿宋_GB2312" w:cs="仿宋_GB2312"/>
                <w:color w:val="auto"/>
                <w:kern w:val="0"/>
                <w:sz w:val="24"/>
                <w:szCs w:val="24"/>
                <w:highlight w:val="none"/>
              </w:rPr>
              <w:t>业绩</w:t>
            </w: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部分</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20</w:t>
            </w:r>
          </w:p>
        </w:tc>
        <w:tc>
          <w:tcPr>
            <w:tcW w:w="35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近三年内（2018年</w:t>
            </w:r>
            <w:r>
              <w:rPr>
                <w:rFonts w:hint="eastAsia" w:ascii="仿宋_GB2312" w:hAnsi="等线" w:eastAsia="仿宋_GB2312" w:cs="仿宋_GB2312"/>
                <w:color w:val="auto"/>
                <w:kern w:val="0"/>
                <w:sz w:val="24"/>
                <w:szCs w:val="24"/>
                <w:highlight w:val="none"/>
                <w:lang w:val="en-US" w:eastAsia="zh-CN"/>
              </w:rPr>
              <w:t>11</w:t>
            </w:r>
            <w:r>
              <w:rPr>
                <w:rFonts w:ascii="仿宋_GB2312" w:hAnsi="等线" w:eastAsia="仿宋_GB2312" w:cs="仿宋_GB2312"/>
                <w:color w:val="auto"/>
                <w:kern w:val="0"/>
                <w:sz w:val="24"/>
                <w:szCs w:val="24"/>
                <w:highlight w:val="none"/>
              </w:rPr>
              <w:t>月至投标截止日）</w:t>
            </w:r>
            <w:r>
              <w:rPr>
                <w:rFonts w:hint="eastAsia" w:ascii="仿宋_GB2312" w:hAnsi="等线" w:eastAsia="仿宋_GB2312" w:cs="仿宋_GB2312"/>
                <w:color w:val="auto"/>
                <w:kern w:val="0"/>
                <w:sz w:val="24"/>
                <w:szCs w:val="24"/>
                <w:highlight w:val="none"/>
                <w:lang w:val="en-US" w:eastAsia="zh-CN"/>
              </w:rPr>
              <w:t>如有</w:t>
            </w:r>
            <w:r>
              <w:rPr>
                <w:rFonts w:ascii="仿宋_GB2312" w:hAnsi="等线" w:eastAsia="仿宋_GB2312" w:cs="仿宋_GB2312"/>
                <w:color w:val="auto"/>
                <w:kern w:val="0"/>
                <w:sz w:val="24"/>
                <w:szCs w:val="24"/>
                <w:highlight w:val="none"/>
              </w:rPr>
              <w:t>承担过</w:t>
            </w:r>
            <w:r>
              <w:rPr>
                <w:rFonts w:hint="eastAsia" w:ascii="仿宋_GB2312" w:hAnsi="等线" w:eastAsia="仿宋_GB2312" w:cs="仿宋_GB2312"/>
                <w:color w:val="auto"/>
                <w:kern w:val="0"/>
                <w:sz w:val="24"/>
                <w:szCs w:val="24"/>
                <w:highlight w:val="none"/>
                <w:lang w:val="en-US" w:eastAsia="zh-CN"/>
              </w:rPr>
              <w:t>合同金额不低于20万的资产</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业绩，每多一个得5分，最多得20分。（注：以相关合同加盖公章</w:t>
            </w:r>
            <w:r>
              <w:rPr>
                <w:rFonts w:hint="default" w:ascii="仿宋_GB2312" w:hAnsi="等线" w:eastAsia="仿宋_GB2312" w:cs="仿宋_GB2312"/>
                <w:color w:val="auto"/>
                <w:kern w:val="0"/>
                <w:sz w:val="24"/>
                <w:szCs w:val="24"/>
                <w:highlight w:val="none"/>
                <w:lang w:eastAsia="zh-CN"/>
              </w:rPr>
              <w:t>及</w:t>
            </w:r>
            <w:r>
              <w:rPr>
                <w:rFonts w:hint="default" w:ascii="仿宋_GB2312" w:hAnsi="等线" w:eastAsia="仿宋_GB2312" w:cs="仿宋_GB2312"/>
                <w:color w:val="000000"/>
                <w:kern w:val="0"/>
                <w:sz w:val="24"/>
                <w:szCs w:val="24"/>
                <w:highlight w:val="none"/>
              </w:rPr>
              <w:t>中标通知书复印件加盖公章</w:t>
            </w:r>
            <w:r>
              <w:rPr>
                <w:rFonts w:ascii="仿宋_GB2312" w:hAnsi="等线" w:eastAsia="仿宋_GB2312" w:cs="仿宋_GB2312"/>
                <w:color w:val="auto"/>
                <w:kern w:val="0"/>
                <w:sz w:val="24"/>
                <w:szCs w:val="24"/>
                <w:highlight w:val="none"/>
              </w:rPr>
              <w:t xml:space="preserve">为准（业绩需提供业绩一览表）； </w:t>
            </w:r>
            <w:r>
              <w:rPr>
                <w:rFonts w:hint="eastAsia" w:ascii="宋体" w:hAnsi="宋体" w:eastAsia="宋体" w:cs="宋体"/>
                <w:color w:val="auto"/>
                <w:kern w:val="0"/>
                <w:sz w:val="24"/>
                <w:szCs w:val="24"/>
                <w:highlight w:val="none"/>
              </w:rPr>
              <w:t xml:space="preserve"> </w:t>
            </w:r>
          </w:p>
        </w:tc>
      </w:tr>
      <w:tr>
        <w:tblPrEx>
          <w:tblCellMar>
            <w:top w:w="0" w:type="dxa"/>
            <w:left w:w="0" w:type="dxa"/>
            <w:bottom w:w="0" w:type="dxa"/>
            <w:right w:w="0" w:type="dxa"/>
          </w:tblCellMar>
        </w:tblPrEx>
        <w:trPr>
          <w:trHeight w:val="1342" w:hRule="atLeast"/>
        </w:trPr>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项目投入人员</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10</w:t>
            </w:r>
          </w:p>
        </w:tc>
        <w:tc>
          <w:tcPr>
            <w:tcW w:w="3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拟投入成员</w:t>
            </w:r>
            <w:r>
              <w:rPr>
                <w:rFonts w:hint="eastAsia" w:ascii="仿宋_GB2312" w:hAnsi="等线" w:eastAsia="仿宋_GB2312" w:cs="仿宋_GB2312"/>
                <w:color w:val="auto"/>
                <w:kern w:val="0"/>
                <w:sz w:val="24"/>
                <w:szCs w:val="24"/>
                <w:highlight w:val="none"/>
                <w:lang w:eastAsia="zh-CN"/>
              </w:rPr>
              <w:t>需不少于</w:t>
            </w:r>
            <w:r>
              <w:rPr>
                <w:rFonts w:hint="eastAsia" w:ascii="仿宋_GB2312" w:hAnsi="等线" w:eastAsia="仿宋_GB2312" w:cs="仿宋_GB2312"/>
                <w:color w:val="auto"/>
                <w:kern w:val="0"/>
                <w:sz w:val="24"/>
                <w:szCs w:val="24"/>
                <w:highlight w:val="none"/>
                <w:lang w:val="en-US" w:eastAsia="zh-CN"/>
              </w:rPr>
              <w:t>3</w:t>
            </w:r>
            <w:r>
              <w:rPr>
                <w:rFonts w:hint="eastAsia" w:ascii="仿宋_GB2312" w:hAnsi="等线" w:eastAsia="仿宋_GB2312" w:cs="仿宋_GB2312"/>
                <w:color w:val="auto"/>
                <w:kern w:val="0"/>
                <w:sz w:val="24"/>
                <w:szCs w:val="24"/>
                <w:highlight w:val="none"/>
                <w:lang w:eastAsia="zh-CN"/>
              </w:rPr>
              <w:t>名及</w:t>
            </w:r>
            <w:r>
              <w:rPr>
                <w:rFonts w:hint="eastAsia" w:ascii="仿宋_GB2312" w:hAnsi="等线" w:eastAsia="仿宋_GB2312" w:cs="仿宋_GB2312"/>
                <w:color w:val="auto"/>
                <w:kern w:val="0"/>
                <w:sz w:val="24"/>
                <w:szCs w:val="24"/>
                <w:highlight w:val="none"/>
                <w:shd w:val="clear" w:color="auto" w:fill="auto"/>
                <w:lang w:eastAsia="zh-CN"/>
              </w:rPr>
              <w:t>以上受聘资产评估师</w:t>
            </w:r>
            <w:r>
              <w:rPr>
                <w:rFonts w:hint="eastAsia" w:ascii="仿宋_GB2312" w:hAnsi="等线" w:eastAsia="仿宋_GB2312" w:cs="仿宋_GB2312"/>
                <w:color w:val="auto"/>
                <w:kern w:val="0"/>
                <w:sz w:val="24"/>
                <w:szCs w:val="24"/>
                <w:lang w:eastAsia="zh-CN"/>
              </w:rPr>
              <w:t>（不含项目</w:t>
            </w:r>
            <w:bookmarkStart w:id="147" w:name="_GoBack"/>
            <w:bookmarkEnd w:id="147"/>
            <w:r>
              <w:rPr>
                <w:rFonts w:hint="eastAsia" w:ascii="仿宋_GB2312" w:hAnsi="等线" w:eastAsia="仿宋_GB2312" w:cs="仿宋_GB2312"/>
                <w:color w:val="auto"/>
                <w:kern w:val="0"/>
                <w:sz w:val="24"/>
                <w:szCs w:val="24"/>
                <w:lang w:eastAsia="zh-CN"/>
              </w:rPr>
              <w:t>负责人）</w:t>
            </w:r>
            <w:r>
              <w:rPr>
                <w:rFonts w:hint="eastAsia" w:ascii="宋体" w:hAnsi="宋体" w:eastAsia="宋体" w:cs="宋体"/>
                <w:color w:val="auto"/>
                <w:sz w:val="24"/>
                <w:szCs w:val="24"/>
                <w:highlight w:val="none"/>
                <w:shd w:val="clear" w:color="auto" w:fill="FFFFFF"/>
                <w:lang w:eastAsia="zh-CN"/>
              </w:rPr>
              <w:t>，</w:t>
            </w:r>
            <w:r>
              <w:rPr>
                <w:rFonts w:ascii="仿宋_GB2312" w:hAnsi="等线" w:eastAsia="仿宋_GB2312" w:cs="仿宋_GB2312"/>
                <w:color w:val="auto"/>
                <w:kern w:val="0"/>
                <w:sz w:val="24"/>
                <w:szCs w:val="24"/>
                <w:highlight w:val="none"/>
              </w:rPr>
              <w:t>每增加</w:t>
            </w:r>
            <w:r>
              <w:rPr>
                <w:rFonts w:hint="eastAsia" w:ascii="仿宋_GB2312" w:hAnsi="等线" w:eastAsia="仿宋_GB2312" w:cs="仿宋_GB2312"/>
                <w:color w:val="auto"/>
                <w:kern w:val="0"/>
                <w:sz w:val="24"/>
                <w:szCs w:val="24"/>
                <w:highlight w:val="none"/>
                <w:lang w:val="en-US" w:eastAsia="zh-CN"/>
              </w:rPr>
              <w:t>1</w:t>
            </w:r>
            <w:r>
              <w:rPr>
                <w:rFonts w:hint="eastAsia" w:ascii="仿宋_GB2312" w:hAnsi="等线" w:eastAsia="仿宋_GB2312" w:cs="仿宋_GB2312"/>
                <w:color w:val="auto"/>
                <w:kern w:val="0"/>
                <w:sz w:val="24"/>
                <w:szCs w:val="24"/>
                <w:highlight w:val="none"/>
                <w:lang w:eastAsia="zh-CN"/>
              </w:rPr>
              <w:t>名，得</w:t>
            </w:r>
            <w:r>
              <w:rPr>
                <w:rFonts w:hint="eastAsia" w:ascii="仿宋_GB2312" w:hAnsi="等线" w:eastAsia="仿宋_GB2312" w:cs="仿宋_GB2312"/>
                <w:color w:val="auto"/>
                <w:kern w:val="0"/>
                <w:sz w:val="24"/>
                <w:szCs w:val="24"/>
                <w:highlight w:val="none"/>
                <w:lang w:val="en-US" w:eastAsia="zh-CN"/>
              </w:rPr>
              <w:t>2分，最高得4分；拟投入人员每增加1名</w:t>
            </w:r>
            <w:r>
              <w:rPr>
                <w:rFonts w:ascii="仿宋_GB2312" w:hAnsi="等线" w:eastAsia="仿宋_GB2312" w:cs="仿宋_GB2312"/>
                <w:color w:val="auto"/>
                <w:kern w:val="0"/>
                <w:sz w:val="24"/>
                <w:szCs w:val="24"/>
                <w:highlight w:val="none"/>
              </w:rPr>
              <w:t>注册会计师得</w:t>
            </w:r>
            <w:r>
              <w:rPr>
                <w:rFonts w:hint="eastAsia" w:ascii="仿宋_GB2312" w:hAnsi="等线" w:eastAsia="仿宋_GB2312" w:cs="仿宋_GB2312"/>
                <w:color w:val="auto"/>
                <w:kern w:val="0"/>
                <w:sz w:val="24"/>
                <w:szCs w:val="24"/>
                <w:highlight w:val="none"/>
                <w:lang w:val="en-US" w:eastAsia="zh-CN"/>
              </w:rPr>
              <w:t>3</w:t>
            </w:r>
            <w:r>
              <w:rPr>
                <w:rFonts w:ascii="仿宋_GB2312" w:hAnsi="等线" w:eastAsia="仿宋_GB2312" w:cs="仿宋_GB2312"/>
                <w:color w:val="auto"/>
                <w:kern w:val="0"/>
                <w:sz w:val="24"/>
                <w:szCs w:val="24"/>
                <w:highlight w:val="none"/>
              </w:rPr>
              <w:t>分，</w:t>
            </w:r>
            <w:r>
              <w:rPr>
                <w:rFonts w:hint="eastAsia" w:ascii="仿宋_GB2312" w:hAnsi="等线" w:eastAsia="仿宋_GB2312" w:cs="仿宋_GB2312"/>
                <w:color w:val="auto"/>
                <w:kern w:val="0"/>
                <w:sz w:val="24"/>
                <w:szCs w:val="24"/>
                <w:highlight w:val="none"/>
                <w:lang w:eastAsia="zh-CN"/>
              </w:rPr>
              <w:t>，最高得</w:t>
            </w:r>
            <w:r>
              <w:rPr>
                <w:rFonts w:hint="eastAsia" w:ascii="仿宋_GB2312" w:hAnsi="等线" w:eastAsia="仿宋_GB2312" w:cs="仿宋_GB2312"/>
                <w:color w:val="auto"/>
                <w:kern w:val="0"/>
                <w:sz w:val="24"/>
                <w:szCs w:val="24"/>
                <w:highlight w:val="none"/>
                <w:lang w:val="en-US" w:eastAsia="zh-CN"/>
              </w:rPr>
              <w:t>6</w:t>
            </w:r>
            <w:r>
              <w:rPr>
                <w:rFonts w:ascii="仿宋_GB2312" w:hAnsi="等线" w:eastAsia="仿宋_GB2312" w:cs="仿宋_GB2312"/>
                <w:color w:val="auto"/>
                <w:kern w:val="0"/>
                <w:sz w:val="24"/>
                <w:szCs w:val="24"/>
                <w:highlight w:val="none"/>
              </w:rPr>
              <w:t>分。</w:t>
            </w:r>
            <w:r>
              <w:rPr>
                <w:rFonts w:hint="eastAsia" w:ascii="仿宋_GB2312" w:hAnsi="等线" w:eastAsia="仿宋_GB2312" w:cs="仿宋_GB2312"/>
                <w:color w:val="auto"/>
                <w:kern w:val="0"/>
                <w:sz w:val="24"/>
                <w:szCs w:val="24"/>
                <w:highlight w:val="none"/>
                <w:lang w:eastAsia="zh-CN"/>
              </w:rPr>
              <w:t>此两项分值满分</w:t>
            </w:r>
            <w:r>
              <w:rPr>
                <w:rFonts w:hint="eastAsia" w:ascii="仿宋_GB2312" w:hAnsi="等线" w:eastAsia="仿宋_GB2312" w:cs="仿宋_GB2312"/>
                <w:color w:val="auto"/>
                <w:kern w:val="0"/>
                <w:sz w:val="24"/>
                <w:szCs w:val="24"/>
                <w:highlight w:val="none"/>
                <w:lang w:val="en-US" w:eastAsia="zh-CN"/>
              </w:rPr>
              <w:t>10分</w:t>
            </w:r>
            <w:r>
              <w:rPr>
                <w:rFonts w:ascii="仿宋_GB2312" w:hAnsi="等线" w:eastAsia="仿宋_GB2312" w:cs="仿宋_GB2312"/>
                <w:color w:val="auto"/>
                <w:kern w:val="0"/>
                <w:sz w:val="24"/>
                <w:szCs w:val="24"/>
                <w:highlight w:val="none"/>
              </w:rPr>
              <w:t>（</w:t>
            </w:r>
            <w:r>
              <w:rPr>
                <w:rFonts w:hint="eastAsia" w:ascii="仿宋_GB2312" w:hAnsi="等线" w:eastAsia="仿宋_GB2312" w:cs="仿宋_GB2312"/>
                <w:color w:val="auto"/>
                <w:kern w:val="0"/>
                <w:sz w:val="24"/>
                <w:szCs w:val="24"/>
                <w:highlight w:val="none"/>
                <w:lang w:eastAsia="zh-CN"/>
              </w:rPr>
              <w:t>以上人员均需注册在本单位，</w:t>
            </w:r>
            <w:r>
              <w:rPr>
                <w:rFonts w:ascii="仿宋_GB2312" w:hAnsi="等线" w:eastAsia="仿宋_GB2312" w:cs="仿宋_GB2312"/>
                <w:color w:val="auto"/>
                <w:kern w:val="0"/>
                <w:sz w:val="24"/>
                <w:szCs w:val="24"/>
                <w:highlight w:val="none"/>
              </w:rPr>
              <w:t>提供相关证书复印件加盖公章）（需提供拟投入人员一览表）。</w:t>
            </w:r>
          </w:p>
        </w:tc>
      </w:tr>
      <w:tr>
        <w:tblPrEx>
          <w:tblCellMar>
            <w:top w:w="0" w:type="dxa"/>
            <w:left w:w="0" w:type="dxa"/>
            <w:bottom w:w="0" w:type="dxa"/>
            <w:right w:w="0" w:type="dxa"/>
          </w:tblCellMar>
        </w:tblPrEx>
        <w:trPr>
          <w:trHeight w:val="2143" w:hRule="atLeast"/>
        </w:trPr>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highlight w:val="none"/>
              </w:rPr>
            </w:pPr>
            <w:r>
              <w:rPr>
                <w:rFonts w:ascii="仿宋_GB2312" w:hAnsi="等线" w:eastAsia="仿宋_GB2312" w:cs="仿宋_GB2312"/>
                <w:color w:val="auto"/>
                <w:kern w:val="0"/>
                <w:sz w:val="24"/>
                <w:szCs w:val="24"/>
                <w:highlight w:val="none"/>
              </w:rPr>
              <w:t>承诺</w:t>
            </w: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部分</w:t>
            </w:r>
          </w:p>
        </w:tc>
        <w:tc>
          <w:tcPr>
            <w:tcW w:w="2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5</w:t>
            </w:r>
          </w:p>
        </w:tc>
        <w:tc>
          <w:tcPr>
            <w:tcW w:w="3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等线" w:eastAsia="仿宋_GB2312" w:cs="仿宋_GB2312"/>
                <w:color w:val="auto"/>
                <w:kern w:val="0"/>
                <w:sz w:val="24"/>
                <w:szCs w:val="24"/>
                <w:highlight w:val="none"/>
                <w:lang w:eastAsia="zh-CN"/>
              </w:rPr>
            </w:pPr>
            <w:r>
              <w:rPr>
                <w:rFonts w:ascii="仿宋_GB2312" w:hAnsi="等线" w:eastAsia="仿宋_GB2312" w:cs="仿宋_GB2312"/>
                <w:color w:val="auto"/>
                <w:kern w:val="0"/>
                <w:sz w:val="24"/>
                <w:szCs w:val="24"/>
                <w:highlight w:val="none"/>
              </w:rPr>
              <w:t>1.承诺</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项目负责人全程服务该项目，按时完成</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工作，得2分。</w:t>
            </w:r>
          </w:p>
          <w:p>
            <w:pPr>
              <w:widowControl/>
              <w:jc w:val="left"/>
              <w:textAlignment w:val="center"/>
              <w:rPr>
                <w:rFonts w:hint="eastAsia" w:ascii="仿宋_GB2312" w:hAnsi="等线" w:eastAsia="仿宋_GB2312" w:cs="仿宋_GB2312"/>
                <w:color w:val="auto"/>
                <w:kern w:val="0"/>
                <w:sz w:val="24"/>
                <w:szCs w:val="24"/>
                <w:highlight w:val="none"/>
                <w:lang w:eastAsia="zh-CN"/>
              </w:rPr>
            </w:pPr>
            <w:r>
              <w:rPr>
                <w:rFonts w:ascii="仿宋_GB2312" w:hAnsi="等线" w:eastAsia="仿宋_GB2312" w:cs="仿宋_GB2312"/>
                <w:color w:val="auto"/>
                <w:kern w:val="0"/>
                <w:sz w:val="24"/>
                <w:szCs w:val="24"/>
                <w:highlight w:val="none"/>
              </w:rPr>
              <w:t>2.承诺在决算</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过程中不更换项目负责人，得1分。</w:t>
            </w:r>
          </w:p>
          <w:p>
            <w:pPr>
              <w:widowControl/>
              <w:jc w:val="left"/>
              <w:textAlignment w:val="center"/>
              <w:rPr>
                <w:rFonts w:hint="eastAsia" w:ascii="仿宋_GB2312" w:hAnsi="等线" w:eastAsia="仿宋_GB2312" w:cs="仿宋_GB2312"/>
                <w:color w:val="auto"/>
                <w:kern w:val="0"/>
                <w:sz w:val="24"/>
                <w:szCs w:val="24"/>
                <w:highlight w:val="none"/>
                <w:lang w:eastAsia="zh-CN"/>
              </w:rPr>
            </w:pPr>
            <w:r>
              <w:rPr>
                <w:rFonts w:ascii="仿宋_GB2312" w:hAnsi="等线" w:eastAsia="仿宋_GB2312" w:cs="仿宋_GB2312"/>
                <w:color w:val="auto"/>
                <w:kern w:val="0"/>
                <w:sz w:val="24"/>
                <w:szCs w:val="24"/>
                <w:highlight w:val="none"/>
              </w:rPr>
              <w:t>3.承诺在</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工作过程中，</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人员全程进驻现场，得2分。</w:t>
            </w:r>
          </w:p>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(备注：本项三档累计计分）</w:t>
            </w:r>
          </w:p>
        </w:tc>
      </w:tr>
      <w:tr>
        <w:tblPrEx>
          <w:tblCellMar>
            <w:top w:w="0" w:type="dxa"/>
            <w:left w:w="0" w:type="dxa"/>
            <w:bottom w:w="0" w:type="dxa"/>
            <w:right w:w="0" w:type="dxa"/>
          </w:tblCellMar>
        </w:tblPrEx>
        <w:trPr>
          <w:trHeight w:val="1211" w:hRule="atLeast"/>
        </w:trPr>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等线" w:eastAsia="仿宋_GB2312" w:cs="仿宋_GB2312"/>
                <w:color w:val="auto"/>
                <w:kern w:val="0"/>
                <w:sz w:val="24"/>
                <w:szCs w:val="24"/>
                <w:highlight w:val="none"/>
                <w:lang w:eastAsia="zh-CN"/>
              </w:rPr>
            </w:pPr>
            <w:r>
              <w:rPr>
                <w:rFonts w:ascii="仿宋_GB2312" w:hAnsi="等线" w:eastAsia="仿宋_GB2312" w:cs="仿宋_GB2312"/>
                <w:color w:val="auto"/>
                <w:kern w:val="0"/>
                <w:sz w:val="24"/>
                <w:szCs w:val="24"/>
                <w:highlight w:val="none"/>
              </w:rPr>
              <w:t>技术部分</w:t>
            </w: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（25分）</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kern w:val="0"/>
                <w:sz w:val="24"/>
                <w:szCs w:val="24"/>
                <w:highlight w:val="none"/>
              </w:rPr>
            </w:pPr>
            <w:r>
              <w:rPr>
                <w:rFonts w:ascii="仿宋_GB2312" w:hAnsi="等线" w:eastAsia="仿宋_GB2312" w:cs="仿宋_GB2312"/>
                <w:color w:val="auto"/>
                <w:kern w:val="0"/>
                <w:sz w:val="24"/>
                <w:szCs w:val="24"/>
                <w:highlight w:val="none"/>
              </w:rPr>
              <w:t>实施</w:t>
            </w:r>
          </w:p>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方案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25</w:t>
            </w:r>
          </w:p>
        </w:tc>
        <w:tc>
          <w:tcPr>
            <w:tcW w:w="3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1.</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 xml:space="preserve">工作方案内容完整，针对性强，进度安排合理，能充分体现本项目的招标特点，能提出行之有效的措施，在 15-25分范围内打分； </w:t>
            </w:r>
          </w:p>
        </w:tc>
      </w:tr>
      <w:tr>
        <w:tblPrEx>
          <w:tblCellMar>
            <w:top w:w="0" w:type="dxa"/>
            <w:left w:w="0" w:type="dxa"/>
            <w:bottom w:w="0" w:type="dxa"/>
            <w:right w:w="0" w:type="dxa"/>
          </w:tblCellMar>
        </w:tblPrEx>
        <w:trPr>
          <w:trHeight w:val="1064" w:hRule="atLeast"/>
        </w:trPr>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3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2.</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工作方案内容较完整，针对性较强，进度安排较合理，能基本体现本项目的招标特点，在7-14分范围内打分；</w:t>
            </w:r>
          </w:p>
        </w:tc>
      </w:tr>
      <w:tr>
        <w:tblPrEx>
          <w:tblCellMar>
            <w:top w:w="0" w:type="dxa"/>
            <w:left w:w="0" w:type="dxa"/>
            <w:bottom w:w="0" w:type="dxa"/>
            <w:right w:w="0" w:type="dxa"/>
          </w:tblCellMar>
        </w:tblPrEx>
        <w:trPr>
          <w:trHeight w:val="1401" w:hRule="atLeast"/>
        </w:trPr>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等线" w:eastAsia="仿宋_GB2312" w:cs="仿宋_GB2312"/>
                <w:color w:val="auto"/>
                <w:sz w:val="24"/>
                <w:szCs w:val="24"/>
                <w:highlight w:val="none"/>
              </w:rPr>
            </w:pPr>
          </w:p>
        </w:tc>
        <w:tc>
          <w:tcPr>
            <w:tcW w:w="3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等线" w:eastAsia="仿宋_GB2312" w:cs="仿宋_GB2312"/>
                <w:color w:val="auto"/>
                <w:kern w:val="0"/>
                <w:sz w:val="24"/>
                <w:szCs w:val="24"/>
                <w:highlight w:val="none"/>
                <w:lang w:eastAsia="zh-CN"/>
              </w:rPr>
            </w:pPr>
            <w:r>
              <w:rPr>
                <w:rFonts w:ascii="仿宋_GB2312" w:hAnsi="等线" w:eastAsia="仿宋_GB2312" w:cs="仿宋_GB2312"/>
                <w:color w:val="auto"/>
                <w:kern w:val="0"/>
                <w:sz w:val="24"/>
                <w:szCs w:val="24"/>
                <w:highlight w:val="none"/>
              </w:rPr>
              <w:t>3.</w:t>
            </w:r>
            <w:r>
              <w:rPr>
                <w:rFonts w:hint="eastAsia" w:ascii="仿宋_GB2312" w:hAnsi="等线" w:eastAsia="仿宋_GB2312" w:cs="仿宋_GB2312"/>
                <w:color w:val="auto"/>
                <w:kern w:val="0"/>
                <w:sz w:val="24"/>
                <w:szCs w:val="24"/>
                <w:highlight w:val="none"/>
                <w:lang w:eastAsia="zh-CN"/>
              </w:rPr>
              <w:t>评估</w:t>
            </w:r>
            <w:r>
              <w:rPr>
                <w:rFonts w:ascii="仿宋_GB2312" w:hAnsi="等线" w:eastAsia="仿宋_GB2312" w:cs="仿宋_GB2312"/>
                <w:color w:val="auto"/>
                <w:kern w:val="0"/>
                <w:sz w:val="24"/>
                <w:szCs w:val="24"/>
                <w:highlight w:val="none"/>
              </w:rPr>
              <w:t>工作方案较一般，无一定针对性，生搬硬套，不能体现本项目招标特点，在0-6分范围内打分。</w:t>
            </w:r>
          </w:p>
          <w:p>
            <w:pPr>
              <w:widowControl/>
              <w:jc w:val="left"/>
              <w:textAlignment w:val="center"/>
              <w:rPr>
                <w:rFonts w:ascii="仿宋_GB2312" w:hAnsi="等线" w:eastAsia="仿宋_GB2312" w:cs="仿宋_GB2312"/>
                <w:color w:val="auto"/>
                <w:sz w:val="24"/>
                <w:szCs w:val="24"/>
                <w:highlight w:val="none"/>
              </w:rPr>
            </w:pPr>
            <w:r>
              <w:rPr>
                <w:rFonts w:ascii="仿宋_GB2312" w:hAnsi="等线" w:eastAsia="仿宋_GB2312" w:cs="仿宋_GB2312"/>
                <w:color w:val="auto"/>
                <w:kern w:val="0"/>
                <w:sz w:val="24"/>
                <w:szCs w:val="24"/>
                <w:highlight w:val="none"/>
              </w:rPr>
              <w:t>(备注：本项只按照其中一档计分，三档不累计计分）</w:t>
            </w:r>
          </w:p>
        </w:tc>
      </w:tr>
    </w:tbl>
    <w:p>
      <w:pPr>
        <w:pStyle w:val="4"/>
        <w:ind w:firstLine="0"/>
        <w:rPr>
          <w:color w:val="auto"/>
          <w:highlight w:val="none"/>
        </w:rPr>
      </w:pPr>
    </w:p>
    <w:p>
      <w:pPr>
        <w:pStyle w:val="4"/>
        <w:ind w:firstLine="0"/>
        <w:rPr>
          <w:color w:val="auto"/>
          <w:highlight w:val="none"/>
        </w:rPr>
      </w:pP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22.确定中选人</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64" w:name="_Toc247085726"/>
      <w:bookmarkStart w:id="65" w:name="_Toc152045568"/>
      <w:bookmarkStart w:id="66" w:name="_Toc3299092"/>
      <w:bookmarkStart w:id="67" w:name="_Toc327827299"/>
      <w:bookmarkStart w:id="68" w:name="_Toc7749"/>
      <w:bookmarkStart w:id="69" w:name="_Toc327739977"/>
      <w:bookmarkStart w:id="70" w:name="_Toc144974536"/>
      <w:bookmarkStart w:id="71" w:name="_Toc179632586"/>
      <w:bookmarkStart w:id="72" w:name="_Toc152042344"/>
      <w:bookmarkStart w:id="73" w:name="_Toc246996212"/>
      <w:bookmarkStart w:id="74" w:name="_Toc246996955"/>
      <w:bookmarkStart w:id="75" w:name="_Toc3299279"/>
      <w:bookmarkStart w:id="76" w:name="_Toc326652356"/>
      <w:r>
        <w:rPr>
          <w:rFonts w:hint="eastAsia" w:ascii="宋体" w:hAnsi="宋体" w:eastAsia="宋体" w:cs="宋体"/>
          <w:color w:val="auto"/>
          <w:sz w:val="24"/>
          <w:szCs w:val="24"/>
          <w:highlight w:val="none"/>
          <w:shd w:val="clear" w:color="auto" w:fill="FFFFFF"/>
        </w:rPr>
        <w:t>23.中选通知</w:t>
      </w:r>
      <w:bookmarkEnd w:id="64"/>
      <w:bookmarkEnd w:id="65"/>
      <w:bookmarkEnd w:id="66"/>
      <w:bookmarkEnd w:id="67"/>
      <w:bookmarkEnd w:id="68"/>
      <w:bookmarkEnd w:id="69"/>
      <w:bookmarkEnd w:id="70"/>
      <w:bookmarkEnd w:id="71"/>
      <w:bookmarkEnd w:id="72"/>
      <w:bookmarkEnd w:id="73"/>
      <w:bookmarkEnd w:id="74"/>
      <w:bookmarkEnd w:id="75"/>
      <w:bookmarkEnd w:id="76"/>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在本遴选文件规定的参选有效期内，遴选人以书面形式向中选人发出中选通知书，同时将中选结果通知未中选的参选人。</w:t>
      </w:r>
    </w:p>
    <w:p>
      <w:pPr>
        <w:widowControl/>
        <w:spacing w:line="600" w:lineRule="atLeast"/>
        <w:ind w:firstLine="480" w:firstLineChars="200"/>
        <w:rPr>
          <w:rFonts w:ascii="宋体" w:hAnsi="宋体" w:eastAsia="宋体" w:cs="宋体"/>
          <w:color w:val="auto"/>
          <w:sz w:val="24"/>
          <w:szCs w:val="24"/>
          <w:highlight w:val="none"/>
          <w:shd w:val="clear" w:color="auto" w:fill="FFFFFF"/>
        </w:rPr>
      </w:pPr>
      <w:bookmarkStart w:id="77" w:name="_Toc327739979"/>
      <w:bookmarkStart w:id="78" w:name="_Toc246996957"/>
      <w:bookmarkStart w:id="79" w:name="_Toc152042346"/>
      <w:bookmarkStart w:id="80" w:name="_Toc179632588"/>
      <w:bookmarkStart w:id="81" w:name="_Toc327827301"/>
      <w:bookmarkStart w:id="82" w:name="_Toc246996214"/>
      <w:bookmarkStart w:id="83" w:name="_Toc152045570"/>
      <w:bookmarkStart w:id="84" w:name="_Toc326652358"/>
      <w:bookmarkStart w:id="85" w:name="_Toc144974538"/>
      <w:bookmarkStart w:id="86" w:name="_Toc247085728"/>
      <w:bookmarkStart w:id="87" w:name="_Toc3299280"/>
      <w:bookmarkStart w:id="88" w:name="_Toc21862"/>
      <w:bookmarkStart w:id="89" w:name="_Toc3299093"/>
      <w:r>
        <w:rPr>
          <w:rFonts w:hint="eastAsia" w:ascii="宋体" w:hAnsi="宋体" w:eastAsia="宋体" w:cs="宋体"/>
          <w:color w:val="auto"/>
          <w:sz w:val="24"/>
          <w:szCs w:val="24"/>
          <w:highlight w:val="none"/>
          <w:shd w:val="clear" w:color="auto" w:fill="FFFFFF"/>
        </w:rPr>
        <w:t>24.签订</w:t>
      </w:r>
      <w:bookmarkEnd w:id="77"/>
      <w:bookmarkEnd w:id="78"/>
      <w:bookmarkEnd w:id="79"/>
      <w:bookmarkEnd w:id="80"/>
      <w:bookmarkEnd w:id="81"/>
      <w:bookmarkEnd w:id="82"/>
      <w:bookmarkEnd w:id="83"/>
      <w:bookmarkEnd w:id="84"/>
      <w:bookmarkEnd w:id="85"/>
      <w:bookmarkEnd w:id="86"/>
      <w:r>
        <w:rPr>
          <w:rFonts w:hint="eastAsia" w:ascii="宋体" w:hAnsi="宋体" w:eastAsia="宋体" w:cs="宋体"/>
          <w:color w:val="auto"/>
          <w:sz w:val="24"/>
          <w:szCs w:val="24"/>
          <w:highlight w:val="none"/>
          <w:shd w:val="clear" w:color="auto" w:fill="FFFFFF"/>
        </w:rPr>
        <w:t>协议</w:t>
      </w:r>
      <w:bookmarkEnd w:id="87"/>
      <w:bookmarkEnd w:id="88"/>
      <w:bookmarkEnd w:id="89"/>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遴选人和中选人应当在参选有效期内并自中选通知书发出之日起30天内，根据遴选文件和中选人的参选文件订立书面协议。中选人无正当理由拒签协议的，遴选人取消其中选资格，给遴选人造成的损失，中选人还应当予以赔偿。</w:t>
      </w:r>
    </w:p>
    <w:p>
      <w:pPr>
        <w:pStyle w:val="2"/>
        <w:rPr>
          <w:rFonts w:ascii="仿宋_GB2312" w:hAnsi="宋体" w:eastAsia="仿宋_GB2312" w:cs="仿宋_GB2312"/>
          <w:color w:val="auto"/>
          <w:sz w:val="31"/>
          <w:szCs w:val="31"/>
          <w:highlight w:val="none"/>
          <w:shd w:val="clear" w:color="auto" w:fill="FFFFFF"/>
        </w:rPr>
      </w:pPr>
    </w:p>
    <w:p>
      <w:pPr>
        <w:rPr>
          <w:rFonts w:ascii="仿宋_GB2312" w:hAnsi="宋体" w:eastAsia="仿宋_GB2312" w:cs="仿宋_GB2312"/>
          <w:color w:val="auto"/>
          <w:sz w:val="31"/>
          <w:szCs w:val="31"/>
          <w:highlight w:val="none"/>
          <w:shd w:val="clear" w:color="auto" w:fill="FFFFFF"/>
        </w:rPr>
      </w:pPr>
    </w:p>
    <w:p>
      <w:pPr>
        <w:pStyle w:val="2"/>
        <w:rPr>
          <w:rFonts w:ascii="仿宋_GB2312" w:hAnsi="宋体" w:eastAsia="仿宋_GB2312" w:cs="仿宋_GB2312"/>
          <w:color w:val="auto"/>
          <w:sz w:val="31"/>
          <w:szCs w:val="31"/>
          <w:highlight w:val="none"/>
          <w:shd w:val="clear" w:color="auto" w:fill="FFFFFF"/>
        </w:rPr>
      </w:pPr>
    </w:p>
    <w:p>
      <w:pPr>
        <w:rPr>
          <w:rFonts w:ascii="仿宋_GB2312" w:hAnsi="宋体" w:eastAsia="仿宋_GB2312" w:cs="仿宋_GB2312"/>
          <w:color w:val="auto"/>
          <w:sz w:val="31"/>
          <w:szCs w:val="31"/>
          <w:highlight w:val="none"/>
          <w:shd w:val="clear" w:color="auto" w:fill="FFFFFF"/>
        </w:rPr>
      </w:pPr>
    </w:p>
    <w:p>
      <w:pPr>
        <w:pStyle w:val="2"/>
        <w:rPr>
          <w:rFonts w:ascii="仿宋_GB2312" w:hAnsi="宋体" w:eastAsia="仿宋_GB2312" w:cs="仿宋_GB2312"/>
          <w:color w:val="auto"/>
          <w:sz w:val="31"/>
          <w:szCs w:val="31"/>
          <w:highlight w:val="none"/>
          <w:shd w:val="clear" w:color="auto" w:fill="FFFFFF"/>
        </w:rPr>
      </w:pPr>
    </w:p>
    <w:p>
      <w:pPr>
        <w:rPr>
          <w:rFonts w:ascii="仿宋_GB2312" w:hAnsi="宋体" w:eastAsia="仿宋_GB2312" w:cs="仿宋_GB2312"/>
          <w:color w:val="auto"/>
          <w:sz w:val="31"/>
          <w:szCs w:val="31"/>
          <w:highlight w:val="none"/>
          <w:shd w:val="clear" w:color="auto" w:fill="FFFFFF"/>
        </w:rPr>
      </w:pPr>
    </w:p>
    <w:p>
      <w:pPr>
        <w:pStyle w:val="2"/>
        <w:keepNext w:val="0"/>
        <w:keepLines w:val="0"/>
        <w:widowControl/>
        <w:spacing w:beforeLines="50" w:afterLines="50" w:line="480" w:lineRule="exact"/>
        <w:ind w:firstLine="0"/>
        <w:jc w:val="both"/>
        <w:rPr>
          <w:rFonts w:hint="eastAsia" w:ascii="宋体" w:hAnsi="宋体" w:eastAsia="宋体" w:cs="宋体"/>
          <w:color w:val="auto"/>
          <w:kern w:val="2"/>
          <w:sz w:val="36"/>
          <w:highlight w:val="none"/>
          <w:shd w:val="clear" w:color="auto" w:fill="FFFFFF"/>
        </w:rPr>
      </w:pPr>
      <w:bookmarkStart w:id="90" w:name="_Toc23957"/>
    </w:p>
    <w:p>
      <w:pPr>
        <w:pStyle w:val="2"/>
        <w:keepNext w:val="0"/>
        <w:keepLines w:val="0"/>
        <w:widowControl/>
        <w:spacing w:beforeLines="50" w:afterLines="50" w:line="480" w:lineRule="exact"/>
        <w:ind w:firstLine="879"/>
        <w:jc w:val="center"/>
        <w:rPr>
          <w:rFonts w:ascii="宋体" w:hAnsi="宋体" w:eastAsia="宋体" w:cs="宋体"/>
          <w:color w:val="auto"/>
          <w:kern w:val="2"/>
          <w:sz w:val="36"/>
          <w:highlight w:val="none"/>
          <w:shd w:val="clear" w:color="auto" w:fill="FFFFFF"/>
        </w:rPr>
      </w:pPr>
      <w:r>
        <w:rPr>
          <w:rFonts w:hint="eastAsia" w:ascii="宋体" w:hAnsi="宋体" w:eastAsia="宋体" w:cs="宋体"/>
          <w:color w:val="auto"/>
          <w:kern w:val="2"/>
          <w:sz w:val="36"/>
          <w:highlight w:val="none"/>
          <w:shd w:val="clear" w:color="auto" w:fill="FFFFFF"/>
        </w:rPr>
        <w:t>第三章  采购需求</w:t>
      </w:r>
      <w:bookmarkEnd w:id="90"/>
      <w:bookmarkStart w:id="91" w:name="_Toc522976992"/>
    </w:p>
    <w:bookmarkEnd w:id="91"/>
    <w:p>
      <w:pPr>
        <w:pStyle w:val="2"/>
        <w:keepNext w:val="0"/>
        <w:keepLines w:val="0"/>
        <w:widowControl/>
        <w:spacing w:beforeLines="50" w:afterLines="50" w:line="480" w:lineRule="exact"/>
        <w:rPr>
          <w:rFonts w:ascii="宋体" w:hAnsi="宋体" w:eastAsia="宋体" w:cs="宋体"/>
          <w:b w:val="0"/>
          <w:bCs w:val="0"/>
          <w:color w:val="auto"/>
          <w:kern w:val="2"/>
          <w:sz w:val="24"/>
          <w:szCs w:val="24"/>
          <w:highlight w:val="none"/>
          <w:shd w:val="clear" w:color="auto" w:fill="FFFFFF"/>
        </w:rPr>
      </w:pPr>
      <w:r>
        <w:rPr>
          <w:rFonts w:hint="eastAsia" w:ascii="宋体" w:hAnsi="宋体" w:eastAsia="宋体" w:cs="宋体"/>
          <w:b w:val="0"/>
          <w:bCs w:val="0"/>
          <w:color w:val="auto"/>
          <w:kern w:val="2"/>
          <w:sz w:val="24"/>
          <w:szCs w:val="24"/>
          <w:highlight w:val="none"/>
          <w:shd w:val="clear" w:color="auto" w:fill="FFFFFF"/>
        </w:rPr>
        <w:t>一、项目概况及要求</w:t>
      </w:r>
    </w:p>
    <w:p>
      <w:pPr>
        <w:pStyle w:val="2"/>
        <w:keepNext w:val="0"/>
        <w:keepLines w:val="0"/>
        <w:widowControl/>
        <w:spacing w:beforeLines="50" w:afterLines="50" w:line="480" w:lineRule="exact"/>
        <w:ind w:firstLine="480" w:firstLineChars="200"/>
        <w:rPr>
          <w:rFonts w:ascii="宋体" w:hAnsi="宋体" w:eastAsia="宋体" w:cs="宋体"/>
          <w:b w:val="0"/>
          <w:bCs w:val="0"/>
          <w:color w:val="auto"/>
          <w:kern w:val="2"/>
          <w:sz w:val="24"/>
          <w:szCs w:val="24"/>
          <w:highlight w:val="none"/>
          <w:shd w:val="clear" w:color="auto" w:fill="FFFFFF"/>
        </w:rPr>
      </w:pPr>
      <w:r>
        <w:rPr>
          <w:rFonts w:hint="eastAsia" w:ascii="宋体" w:hAnsi="宋体" w:eastAsia="宋体" w:cs="宋体"/>
          <w:b w:val="0"/>
          <w:bCs w:val="0"/>
          <w:color w:val="auto"/>
          <w:kern w:val="2"/>
          <w:sz w:val="24"/>
          <w:szCs w:val="24"/>
          <w:highlight w:val="none"/>
          <w:shd w:val="clear" w:color="auto" w:fill="FFFFFF"/>
        </w:rPr>
        <w:t>1、项目名称：湖北联新显示科技有限公司二期出资项目</w:t>
      </w:r>
      <w:r>
        <w:rPr>
          <w:rFonts w:hint="eastAsia" w:ascii="宋体" w:hAnsi="宋体" w:eastAsia="宋体" w:cs="宋体"/>
          <w:b w:val="0"/>
          <w:bCs w:val="0"/>
          <w:color w:val="auto"/>
          <w:kern w:val="2"/>
          <w:sz w:val="24"/>
          <w:szCs w:val="24"/>
          <w:highlight w:val="none"/>
          <w:shd w:val="clear" w:color="auto" w:fill="FFFFFF"/>
          <w:lang w:eastAsia="zh-CN"/>
        </w:rPr>
        <w:t>资产评估</w:t>
      </w:r>
      <w:r>
        <w:rPr>
          <w:rFonts w:hint="eastAsia" w:ascii="宋体" w:hAnsi="宋体" w:eastAsia="宋体" w:cs="宋体"/>
          <w:b w:val="0"/>
          <w:bCs w:val="0"/>
          <w:color w:val="auto"/>
          <w:kern w:val="2"/>
          <w:sz w:val="24"/>
          <w:szCs w:val="24"/>
          <w:highlight w:val="none"/>
          <w:shd w:val="clear" w:color="auto" w:fill="FFFFFF"/>
        </w:rPr>
        <w:t>机构公开遴选服务</w:t>
      </w:r>
      <w:r>
        <w:rPr>
          <w:rFonts w:hint="eastAsia" w:ascii="宋体" w:hAnsi="宋体" w:eastAsia="宋体" w:cs="宋体"/>
          <w:b w:val="0"/>
          <w:bCs w:val="0"/>
          <w:color w:val="auto"/>
          <w:kern w:val="2"/>
          <w:sz w:val="24"/>
          <w:szCs w:val="24"/>
          <w:highlight w:val="none"/>
          <w:shd w:val="clear" w:color="auto" w:fill="FFFFFF"/>
          <w:lang w:eastAsia="zh-CN"/>
        </w:rPr>
        <w:t>。</w:t>
      </w:r>
      <w:r>
        <w:rPr>
          <w:rFonts w:hint="eastAsia" w:ascii="宋体" w:hAnsi="宋体" w:eastAsia="宋体" w:cs="宋体"/>
          <w:b w:val="0"/>
          <w:bCs w:val="0"/>
          <w:color w:val="auto"/>
          <w:kern w:val="2"/>
          <w:sz w:val="24"/>
          <w:szCs w:val="24"/>
          <w:highlight w:val="none"/>
          <w:shd w:val="clear" w:color="auto" w:fill="FFFFFF"/>
        </w:rPr>
        <w:t xml:space="preserve"> </w:t>
      </w:r>
    </w:p>
    <w:p>
      <w:pPr>
        <w:pStyle w:val="2"/>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ascii="宋体" w:hAnsi="宋体" w:eastAsia="宋体" w:cs="宋体"/>
          <w:b w:val="0"/>
          <w:bCs w:val="0"/>
          <w:color w:val="auto"/>
          <w:kern w:val="2"/>
          <w:sz w:val="24"/>
          <w:szCs w:val="24"/>
          <w:highlight w:val="none"/>
          <w:shd w:val="clear" w:color="auto" w:fill="FFFFFF"/>
        </w:rPr>
      </w:pPr>
      <w:r>
        <w:rPr>
          <w:rFonts w:hint="eastAsia" w:ascii="宋体" w:hAnsi="宋体" w:eastAsia="宋体" w:cs="宋体"/>
          <w:b w:val="0"/>
          <w:bCs w:val="0"/>
          <w:color w:val="auto"/>
          <w:kern w:val="2"/>
          <w:sz w:val="24"/>
          <w:szCs w:val="24"/>
          <w:highlight w:val="none"/>
          <w:shd w:val="clear" w:color="auto" w:fill="FFFFFF"/>
        </w:rPr>
        <w:t>2、资金来源：自有资金</w:t>
      </w:r>
      <w:r>
        <w:rPr>
          <w:rFonts w:hint="eastAsia" w:ascii="宋体" w:hAnsi="宋体" w:eastAsia="宋体" w:cs="宋体"/>
          <w:b w:val="0"/>
          <w:bCs w:val="0"/>
          <w:color w:val="auto"/>
          <w:kern w:val="2"/>
          <w:sz w:val="24"/>
          <w:szCs w:val="24"/>
          <w:highlight w:val="none"/>
          <w:shd w:val="clear" w:color="auto" w:fill="FFFFFF"/>
          <w:lang w:eastAsia="zh-CN"/>
        </w:rPr>
        <w:t>。</w:t>
      </w:r>
      <w:r>
        <w:rPr>
          <w:rFonts w:hint="eastAsia" w:ascii="宋体" w:hAnsi="宋体" w:eastAsia="宋体" w:cs="宋体"/>
          <w:b w:val="0"/>
          <w:bCs w:val="0"/>
          <w:color w:val="auto"/>
          <w:kern w:val="2"/>
          <w:sz w:val="24"/>
          <w:szCs w:val="24"/>
          <w:highlight w:val="none"/>
          <w:shd w:val="clear" w:color="auto" w:fill="FFFFFF"/>
        </w:rPr>
        <w:t xml:space="preserve"> </w:t>
      </w:r>
    </w:p>
    <w:p>
      <w:pPr>
        <w:pStyle w:val="2"/>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ascii="宋体" w:hAnsi="宋体" w:eastAsia="宋体" w:cs="宋体"/>
          <w:b w:val="0"/>
          <w:bCs w:val="0"/>
          <w:color w:val="auto"/>
          <w:kern w:val="2"/>
          <w:sz w:val="24"/>
          <w:szCs w:val="24"/>
          <w:highlight w:val="none"/>
          <w:shd w:val="clear" w:color="auto" w:fill="FFFFFF"/>
        </w:rPr>
      </w:pPr>
      <w:r>
        <w:rPr>
          <w:rFonts w:hint="eastAsia" w:ascii="宋体" w:hAnsi="宋体" w:eastAsia="宋体" w:cs="宋体"/>
          <w:b w:val="0"/>
          <w:bCs w:val="0"/>
          <w:color w:val="auto"/>
          <w:kern w:val="2"/>
          <w:sz w:val="24"/>
          <w:szCs w:val="24"/>
          <w:highlight w:val="none"/>
          <w:shd w:val="clear" w:color="auto" w:fill="FFFFFF"/>
        </w:rPr>
        <w:t>3、质量标准：合格，满足招标要求。</w:t>
      </w:r>
    </w:p>
    <w:p>
      <w:pPr>
        <w:pStyle w:val="2"/>
        <w:keepNext w:val="0"/>
        <w:keepLines w:val="0"/>
        <w:widowControl/>
        <w:spacing w:beforeLines="50" w:afterLines="50" w:line="480" w:lineRule="exact"/>
        <w:rPr>
          <w:rFonts w:ascii="宋体" w:hAnsi="宋体" w:eastAsia="宋体" w:cs="宋体"/>
          <w:b w:val="0"/>
          <w:bCs w:val="0"/>
          <w:color w:val="auto"/>
          <w:kern w:val="2"/>
          <w:sz w:val="24"/>
          <w:szCs w:val="24"/>
          <w:highlight w:val="none"/>
          <w:shd w:val="clear" w:color="auto" w:fill="FFFFFF"/>
        </w:rPr>
      </w:pPr>
      <w:r>
        <w:rPr>
          <w:rFonts w:hint="eastAsia" w:ascii="宋体" w:hAnsi="宋体" w:eastAsia="宋体" w:cs="宋体"/>
          <w:b w:val="0"/>
          <w:bCs w:val="0"/>
          <w:color w:val="auto"/>
          <w:kern w:val="2"/>
          <w:sz w:val="24"/>
          <w:szCs w:val="24"/>
          <w:highlight w:val="none"/>
          <w:shd w:val="clear" w:color="auto" w:fill="FFFFFF"/>
        </w:rPr>
        <w:t>二、工作内容</w:t>
      </w:r>
    </w:p>
    <w:p>
      <w:pPr>
        <w:widowControl/>
        <w:spacing w:line="600" w:lineRule="atLeast"/>
        <w:ind w:firstLine="480" w:firstLineChars="200"/>
        <w:rPr>
          <w:rFonts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采购内容包括：包括但不限于</w:t>
      </w:r>
      <w:r>
        <w:rPr>
          <w:rFonts w:hint="eastAsia" w:ascii="宋体" w:hAnsi="宋体" w:eastAsia="宋体" w:cs="宋体"/>
          <w:color w:val="auto"/>
          <w:kern w:val="0"/>
          <w:sz w:val="24"/>
          <w:szCs w:val="24"/>
          <w:highlight w:val="none"/>
        </w:rPr>
        <w:t>对</w:t>
      </w:r>
      <w:r>
        <w:rPr>
          <w:rFonts w:hint="eastAsia" w:ascii="宋体" w:hAnsi="宋体" w:eastAsia="宋体" w:cs="宋体"/>
          <w:color w:val="auto"/>
          <w:kern w:val="0"/>
          <w:sz w:val="24"/>
          <w:szCs w:val="24"/>
          <w:highlight w:val="none"/>
          <w:lang w:eastAsia="zh-CN"/>
        </w:rPr>
        <w:t>联创电子拟作价出资股权及设备</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eastAsia="zh-CN"/>
        </w:rPr>
        <w:t>价值评估</w:t>
      </w:r>
      <w:r>
        <w:rPr>
          <w:rFonts w:hint="eastAsia" w:ascii="宋体" w:hAnsi="宋体" w:eastAsia="宋体" w:cs="宋体"/>
          <w:color w:val="auto"/>
          <w:kern w:val="0"/>
          <w:sz w:val="24"/>
          <w:szCs w:val="24"/>
          <w:highlight w:val="none"/>
        </w:rPr>
        <w:t>并出具纸质</w:t>
      </w:r>
      <w:r>
        <w:rPr>
          <w:rFonts w:hint="eastAsia" w:ascii="宋体" w:hAnsi="宋体" w:eastAsia="宋体" w:cs="宋体"/>
          <w:color w:val="auto"/>
          <w:kern w:val="0"/>
          <w:sz w:val="24"/>
          <w:szCs w:val="24"/>
          <w:highlight w:val="none"/>
          <w:lang w:eastAsia="zh-CN"/>
        </w:rPr>
        <w:t>评估</w:t>
      </w:r>
      <w:r>
        <w:rPr>
          <w:rFonts w:hint="eastAsia" w:ascii="宋体" w:hAnsi="宋体" w:eastAsia="宋体" w:cs="宋体"/>
          <w:color w:val="auto"/>
          <w:kern w:val="0"/>
          <w:sz w:val="24"/>
          <w:szCs w:val="24"/>
          <w:highlight w:val="none"/>
        </w:rPr>
        <w:t>报告。</w:t>
      </w:r>
    </w:p>
    <w:p>
      <w:pPr>
        <w:widowControl/>
        <w:spacing w:line="600" w:lineRule="atLeast"/>
        <w:ind w:firstLine="480" w:firstLineChars="200"/>
        <w:rPr>
          <w:rFonts w:hint="default"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shd w:val="clear" w:color="auto" w:fill="FFFFFF"/>
          <w:lang w:val="en-US" w:eastAsia="zh-CN"/>
        </w:rPr>
        <w:t>项目公司简介：联创电子拟以设备和其间接持有的一家公司股权作价进行出资。其中，设备拟作价约0.5亿元，股权拟作价约1亿元，具体以最终确认为准。</w:t>
      </w:r>
    </w:p>
    <w:p>
      <w:pPr>
        <w:pStyle w:val="2"/>
        <w:rPr>
          <w:color w:val="auto"/>
          <w:highlight w:val="none"/>
        </w:rPr>
      </w:pPr>
    </w:p>
    <w:p>
      <w:pPr>
        <w:widowControl/>
        <w:spacing w:line="600" w:lineRule="atLeast"/>
        <w:ind w:firstLine="480" w:firstLineChars="200"/>
        <w:rPr>
          <w:rFonts w:ascii="宋体" w:hAnsi="宋体" w:eastAsia="宋体" w:cs="宋体"/>
          <w:color w:val="auto"/>
          <w:sz w:val="24"/>
          <w:szCs w:val="24"/>
          <w:highlight w:val="none"/>
          <w:shd w:val="clear" w:color="auto" w:fill="FFFFFF"/>
        </w:rPr>
      </w:pPr>
    </w:p>
    <w:p>
      <w:pPr>
        <w:pStyle w:val="2"/>
        <w:rPr>
          <w:rFonts w:ascii="仿宋_GB2312" w:hAnsi="宋体" w:eastAsia="仿宋_GB2312" w:cs="仿宋_GB2312"/>
          <w:color w:val="auto"/>
          <w:sz w:val="31"/>
          <w:szCs w:val="31"/>
          <w:highlight w:val="none"/>
          <w:shd w:val="clear" w:color="auto" w:fill="FFFFFF"/>
        </w:rPr>
      </w:pPr>
      <w:r>
        <w:rPr>
          <w:rFonts w:hint="eastAsia" w:ascii="宋体" w:hAnsi="宋体" w:cs="宋体"/>
          <w:bCs w:val="0"/>
          <w:color w:val="auto"/>
          <w:kern w:val="2"/>
          <w:sz w:val="36"/>
          <w:highlight w:val="none"/>
          <w:shd w:val="clear" w:color="auto" w:fill="FFFFFF"/>
        </w:rPr>
        <w:br w:type="page"/>
      </w:r>
    </w:p>
    <w:p>
      <w:pPr>
        <w:pStyle w:val="2"/>
        <w:keepNext w:val="0"/>
        <w:keepLines w:val="0"/>
        <w:widowControl/>
        <w:spacing w:beforeLines="50" w:afterLines="50" w:line="480" w:lineRule="exact"/>
        <w:ind w:firstLine="879"/>
        <w:jc w:val="center"/>
        <w:rPr>
          <w:rFonts w:ascii="宋体" w:hAnsi="宋体" w:eastAsia="宋体" w:cs="宋体"/>
          <w:color w:val="auto"/>
          <w:kern w:val="2"/>
          <w:sz w:val="36"/>
          <w:highlight w:val="none"/>
          <w:shd w:val="clear" w:color="auto" w:fill="FFFFFF"/>
        </w:rPr>
      </w:pPr>
      <w:bookmarkStart w:id="92" w:name="_Toc3299323"/>
      <w:bookmarkStart w:id="93" w:name="_Toc3299136"/>
      <w:r>
        <w:rPr>
          <w:rFonts w:hint="eastAsia" w:ascii="宋体" w:hAnsi="宋体" w:eastAsia="宋体" w:cs="宋体"/>
          <w:color w:val="auto"/>
          <w:kern w:val="2"/>
          <w:sz w:val="36"/>
          <w:highlight w:val="none"/>
          <w:shd w:val="clear" w:color="auto" w:fill="FFFFFF"/>
        </w:rPr>
        <w:t>第四章  合同条款及格式</w:t>
      </w:r>
      <w:bookmarkEnd w:id="92"/>
      <w:bookmarkEnd w:id="93"/>
      <w:r>
        <w:rPr>
          <w:rFonts w:hint="eastAsia" w:ascii="宋体" w:hAnsi="宋体" w:eastAsia="宋体" w:cs="宋体"/>
          <w:color w:val="auto"/>
          <w:kern w:val="2"/>
          <w:sz w:val="36"/>
          <w:highlight w:val="none"/>
          <w:shd w:val="clear" w:color="auto" w:fill="FFFFFF"/>
        </w:rPr>
        <w:t>(供参考)</w:t>
      </w:r>
    </w:p>
    <w:p>
      <w:pPr>
        <w:snapToGrid w:val="0"/>
        <w:spacing w:after="480" w:line="240" w:lineRule="atLeast"/>
        <w:jc w:val="center"/>
        <w:textAlignment w:val="baseline"/>
        <w:rPr>
          <w:rFonts w:ascii="宋体" w:hAnsi="宋体"/>
          <w:b/>
          <w:color w:val="auto"/>
          <w:sz w:val="28"/>
          <w:highlight w:val="none"/>
        </w:rPr>
      </w:pPr>
      <w:r>
        <w:rPr>
          <w:rFonts w:hint="eastAsia" w:ascii="宋体" w:hAnsi="宋体"/>
          <w:b/>
          <w:color w:val="auto"/>
          <w:sz w:val="28"/>
          <w:highlight w:val="none"/>
        </w:rPr>
        <w:t xml:space="preserve">                   </w:t>
      </w:r>
    </w:p>
    <w:p>
      <w:pPr>
        <w:spacing w:beforeLines="30" w:afterLines="30" w:line="400" w:lineRule="atLeast"/>
        <w:jc w:val="center"/>
        <w:rPr>
          <w:rFonts w:eastAsia="黑体"/>
          <w:b/>
          <w:color w:val="auto"/>
          <w:sz w:val="72"/>
          <w:highlight w:val="none"/>
        </w:rPr>
      </w:pPr>
      <w:r>
        <w:rPr>
          <w:rFonts w:hint="eastAsia" w:eastAsia="黑体"/>
          <w:b/>
          <w:color w:val="auto"/>
          <w:sz w:val="72"/>
          <w:highlight w:val="none"/>
        </w:rPr>
        <w:t>资产评估委托合同</w:t>
      </w:r>
    </w:p>
    <w:p>
      <w:pPr>
        <w:spacing w:beforeLines="30" w:afterLines="30" w:line="400" w:lineRule="atLeast"/>
        <w:jc w:val="center"/>
        <w:rPr>
          <w:color w:val="auto"/>
          <w:sz w:val="28"/>
          <w:highlight w:val="none"/>
        </w:rPr>
      </w:pPr>
    </w:p>
    <w:p>
      <w:pPr>
        <w:spacing w:beforeLines="30" w:afterLines="30" w:line="400" w:lineRule="atLeast"/>
        <w:jc w:val="center"/>
        <w:rPr>
          <w:color w:val="auto"/>
          <w:sz w:val="36"/>
          <w:highlight w:val="none"/>
        </w:rPr>
      </w:pPr>
    </w:p>
    <w:p>
      <w:pPr>
        <w:pStyle w:val="2"/>
        <w:rPr>
          <w:color w:val="auto"/>
          <w:highlight w:val="none"/>
        </w:rPr>
      </w:pPr>
    </w:p>
    <w:p>
      <w:pPr>
        <w:spacing w:beforeLines="30" w:afterLines="30" w:line="400" w:lineRule="atLeast"/>
        <w:rPr>
          <w:color w:val="auto"/>
          <w:sz w:val="36"/>
          <w:highlight w:val="none"/>
        </w:rPr>
      </w:pPr>
    </w:p>
    <w:p>
      <w:pPr>
        <w:spacing w:beforeLines="30" w:afterLines="30" w:line="400" w:lineRule="atLeast"/>
        <w:ind w:firstLine="1920" w:firstLineChars="800"/>
        <w:rPr>
          <w:color w:val="auto"/>
          <w:sz w:val="24"/>
          <w:szCs w:val="24"/>
          <w:highlight w:val="none"/>
        </w:rPr>
      </w:pPr>
      <w:r>
        <w:rPr>
          <w:rFonts w:hint="eastAsia"/>
          <w:color w:val="auto"/>
          <w:sz w:val="24"/>
          <w:szCs w:val="24"/>
          <w:highlight w:val="none"/>
        </w:rPr>
        <w:t>甲方编号：</w:t>
      </w:r>
    </w:p>
    <w:p>
      <w:pPr>
        <w:spacing w:beforeLines="30" w:afterLines="30" w:line="400" w:lineRule="atLeast"/>
        <w:ind w:firstLine="1920" w:firstLineChars="800"/>
        <w:rPr>
          <w:color w:val="auto"/>
          <w:sz w:val="24"/>
          <w:szCs w:val="24"/>
          <w:highlight w:val="none"/>
          <w:u w:val="single"/>
        </w:rPr>
      </w:pPr>
      <w:r>
        <w:rPr>
          <w:rFonts w:hint="eastAsia"/>
          <w:color w:val="auto"/>
          <w:sz w:val="24"/>
          <w:szCs w:val="24"/>
          <w:highlight w:val="none"/>
        </w:rPr>
        <w:t xml:space="preserve">乙方编号：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202</w:t>
      </w:r>
      <w:r>
        <w:rPr>
          <w:rFonts w:hint="eastAsia"/>
          <w:color w:val="auto"/>
          <w:sz w:val="24"/>
          <w:szCs w:val="24"/>
          <w:highlight w:val="none"/>
        </w:rPr>
        <w:t xml:space="preserve">  ）第   号</w:t>
      </w:r>
    </w:p>
    <w:p>
      <w:pPr>
        <w:spacing w:beforeLines="30" w:afterLines="30" w:line="400" w:lineRule="atLeast"/>
        <w:jc w:val="center"/>
        <w:rPr>
          <w:color w:val="auto"/>
          <w:sz w:val="24"/>
          <w:highlight w:val="none"/>
          <w:u w:val="single"/>
        </w:rPr>
      </w:pPr>
    </w:p>
    <w:p>
      <w:pPr>
        <w:spacing w:beforeLines="30" w:afterLines="30" w:line="400" w:lineRule="atLeast"/>
        <w:jc w:val="center"/>
        <w:rPr>
          <w:color w:val="auto"/>
          <w:sz w:val="24"/>
          <w:highlight w:val="none"/>
          <w:u w:val="single"/>
        </w:rPr>
      </w:pPr>
    </w:p>
    <w:p>
      <w:pPr>
        <w:spacing w:beforeLines="30" w:afterLines="30" w:line="400" w:lineRule="atLeast"/>
        <w:jc w:val="center"/>
        <w:rPr>
          <w:color w:val="auto"/>
          <w:sz w:val="24"/>
          <w:highlight w:val="none"/>
          <w:u w:val="single"/>
        </w:rPr>
      </w:pPr>
    </w:p>
    <w:p>
      <w:pPr>
        <w:spacing w:beforeLines="30" w:afterLines="30" w:line="400" w:lineRule="atLeast"/>
        <w:jc w:val="center"/>
        <w:rPr>
          <w:color w:val="auto"/>
          <w:sz w:val="24"/>
          <w:highlight w:val="none"/>
        </w:rPr>
      </w:pPr>
    </w:p>
    <w:p>
      <w:pPr>
        <w:pStyle w:val="2"/>
        <w:rPr>
          <w:color w:val="auto"/>
          <w:highlight w:val="none"/>
        </w:rPr>
      </w:pPr>
    </w:p>
    <w:p>
      <w:pPr>
        <w:spacing w:beforeLines="30" w:afterLines="30" w:line="400" w:lineRule="atLeast"/>
        <w:jc w:val="center"/>
        <w:rPr>
          <w:rFonts w:eastAsia="黑体"/>
          <w:color w:val="auto"/>
          <w:sz w:val="36"/>
          <w:highlight w:val="none"/>
        </w:rPr>
      </w:pPr>
      <w:r>
        <w:rPr>
          <w:rFonts w:hint="eastAsia" w:eastAsia="黑体"/>
          <w:color w:val="auto"/>
          <w:sz w:val="36"/>
          <w:highlight w:val="none"/>
        </w:rPr>
        <w:t xml:space="preserve">     年   月   日</w:t>
      </w:r>
    </w:p>
    <w:p>
      <w:pPr>
        <w:spacing w:after="120" w:afterLines="50"/>
        <w:jc w:val="center"/>
        <w:rPr>
          <w:rFonts w:ascii="仿宋_GB2312" w:eastAsia="仿宋_GB2312"/>
          <w:b/>
          <w:color w:val="auto"/>
          <w:sz w:val="48"/>
          <w:highlight w:val="none"/>
        </w:rPr>
      </w:pPr>
      <w:r>
        <w:rPr>
          <w:rFonts w:eastAsia="黑体"/>
          <w:color w:val="auto"/>
          <w:sz w:val="36"/>
          <w:highlight w:val="none"/>
        </w:rPr>
        <w:br w:type="page"/>
      </w:r>
      <w:r>
        <w:rPr>
          <w:rFonts w:hint="eastAsia" w:ascii="仿宋_GB2312" w:eastAsia="仿宋_GB2312"/>
          <w:b/>
          <w:color w:val="auto"/>
          <w:sz w:val="48"/>
          <w:highlight w:val="none"/>
        </w:rPr>
        <w:t>资产评估委托合同</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委托人名称：</w:t>
      </w:r>
      <w:r>
        <w:rPr>
          <w:rFonts w:hint="eastAsia" w:ascii="宋体" w:hAnsi="宋体" w:eastAsia="宋体" w:cs="宋体"/>
          <w:color w:val="auto"/>
          <w:sz w:val="24"/>
          <w:szCs w:val="24"/>
          <w:highlight w:val="none"/>
          <w:lang w:val="en-US" w:eastAsia="zh-CN"/>
        </w:rPr>
        <w:t>黄石市国有资产经营有限公司</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受托人名称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公司</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资产评估法》《资产评估基本准则》和《资产评估执业准则——资产评估委托合同》，本着平等、自愿、公平、诚实信用的原则，委托人委托受托人进行资产评估服务，经双方协商一致，达成以下约定：</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一、评估目的</w:t>
      </w:r>
    </w:p>
    <w:p>
      <w:pPr>
        <w:keepNext w:val="0"/>
        <w:keepLines w:val="0"/>
        <w:pageBreakBefore w:val="0"/>
        <w:widowControl w:val="0"/>
        <w:kinsoku/>
        <w:wordWrap/>
        <w:overflowPunct/>
        <w:topLinePunct w:val="0"/>
        <w:bidi w:val="0"/>
        <w:adjustRightInd/>
        <w:snapToGrid/>
        <w:spacing w:line="480" w:lineRule="exact"/>
        <w:ind w:left="0" w:leftChars="0"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委托人拟与</w:t>
      </w:r>
      <w:r>
        <w:rPr>
          <w:rFonts w:hint="eastAsia" w:ascii="宋体" w:hAnsi="宋体" w:eastAsia="宋体" w:cs="宋体"/>
          <w:color w:val="auto"/>
          <w:sz w:val="24"/>
          <w:szCs w:val="24"/>
          <w:highlight w:val="none"/>
        </w:rPr>
        <w:t>联创电子科技股份有限公司（以下简称联创电子）</w:t>
      </w:r>
      <w:r>
        <w:rPr>
          <w:rFonts w:hint="eastAsia" w:ascii="宋体" w:hAnsi="宋体" w:eastAsia="宋体" w:cs="宋体"/>
          <w:color w:val="auto"/>
          <w:sz w:val="24"/>
          <w:szCs w:val="24"/>
          <w:highlight w:val="none"/>
          <w:lang w:eastAsia="zh-CN"/>
        </w:rPr>
        <w:t>、湖北鑫益电子合伙企业（有限合伙）</w:t>
      </w:r>
      <w:r>
        <w:rPr>
          <w:rFonts w:hint="eastAsia" w:ascii="宋体" w:hAnsi="宋体" w:eastAsia="宋体" w:cs="宋体"/>
          <w:color w:val="auto"/>
          <w:sz w:val="24"/>
          <w:szCs w:val="24"/>
          <w:highlight w:val="none"/>
          <w:lang w:val="en-US" w:eastAsia="zh-CN"/>
        </w:rPr>
        <w:t>三方共同出资5亿元建设</w:t>
      </w:r>
      <w:r>
        <w:rPr>
          <w:rFonts w:hint="eastAsia" w:ascii="宋体" w:hAnsi="宋体" w:eastAsia="宋体" w:cs="宋体"/>
          <w:color w:val="auto"/>
          <w:sz w:val="24"/>
          <w:szCs w:val="24"/>
          <w:highlight w:val="none"/>
        </w:rPr>
        <w:t>湖北联新显示科技有限公司（以下简称</w:t>
      </w:r>
      <w:r>
        <w:rPr>
          <w:rFonts w:hint="eastAsia" w:ascii="宋体" w:hAnsi="宋体" w:eastAsia="宋体" w:cs="宋体"/>
          <w:color w:val="auto"/>
          <w:sz w:val="24"/>
          <w:szCs w:val="24"/>
          <w:highlight w:val="none"/>
          <w:lang w:val="en-US" w:eastAsia="zh-CN"/>
        </w:rPr>
        <w:t>联新显示</w:t>
      </w:r>
      <w:r>
        <w:rPr>
          <w:rFonts w:hint="eastAsia" w:ascii="宋体" w:hAnsi="宋体" w:eastAsia="宋体" w:cs="宋体"/>
          <w:color w:val="auto"/>
          <w:sz w:val="24"/>
          <w:szCs w:val="24"/>
          <w:highlight w:val="none"/>
        </w:rPr>
        <w:t>）二期项目，联创电子拟以设备</w:t>
      </w:r>
      <w:r>
        <w:rPr>
          <w:rFonts w:hint="eastAsia" w:ascii="宋体" w:hAnsi="宋体" w:eastAsia="宋体" w:cs="宋体"/>
          <w:color w:val="auto"/>
          <w:sz w:val="24"/>
          <w:szCs w:val="24"/>
          <w:highlight w:val="none"/>
          <w:lang w:val="en-US" w:eastAsia="zh-CN"/>
        </w:rPr>
        <w:t>等实物资产</w:t>
      </w:r>
      <w:r>
        <w:rPr>
          <w:rFonts w:hint="eastAsia" w:ascii="宋体" w:hAnsi="宋体" w:eastAsia="宋体" w:cs="宋体"/>
          <w:color w:val="auto"/>
          <w:sz w:val="24"/>
          <w:szCs w:val="24"/>
          <w:highlight w:val="none"/>
        </w:rPr>
        <w:t>作价0.5亿元、河南省华锐光电产业有限公司</w:t>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股权作价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亿元</w:t>
      </w:r>
      <w:r>
        <w:rPr>
          <w:rFonts w:hint="eastAsia" w:ascii="宋体" w:hAnsi="宋体" w:eastAsia="宋体" w:cs="宋体"/>
          <w:color w:val="auto"/>
          <w:sz w:val="24"/>
          <w:szCs w:val="24"/>
          <w:highlight w:val="none"/>
          <w:lang w:val="en-US" w:eastAsia="zh-CN"/>
        </w:rPr>
        <w:t>出资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本次评估的目的是为联创电子用于出资的实物资产及股权提供价值参考。</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评估对象与评估范围</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1、评估对象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联创电子用于联新显示二期出资的实物资产及股权于评估基准日时的市场价值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2、评估范围：</w:t>
      </w:r>
      <w:r>
        <w:rPr>
          <w:rFonts w:hint="eastAsia" w:ascii="宋体" w:hAnsi="宋体" w:eastAsia="宋体" w:cs="宋体"/>
          <w:color w:val="auto"/>
          <w:sz w:val="24"/>
          <w:szCs w:val="24"/>
          <w:highlight w:val="none"/>
          <w:lang w:val="en-US" w:eastAsia="zh-CN"/>
        </w:rPr>
        <w:t>联创电子用于二期出资的</w:t>
      </w:r>
      <w:r>
        <w:rPr>
          <w:rFonts w:hint="eastAsia" w:ascii="宋体" w:hAnsi="宋体" w:eastAsia="宋体" w:cs="宋体"/>
          <w:color w:val="auto"/>
          <w:sz w:val="24"/>
          <w:szCs w:val="24"/>
          <w:highlight w:val="none"/>
        </w:rPr>
        <w:t>设备</w:t>
      </w:r>
      <w:r>
        <w:rPr>
          <w:rFonts w:hint="eastAsia" w:ascii="宋体" w:hAnsi="宋体" w:eastAsia="宋体" w:cs="宋体"/>
          <w:color w:val="auto"/>
          <w:sz w:val="24"/>
          <w:szCs w:val="24"/>
          <w:highlight w:val="none"/>
          <w:lang w:val="en-US" w:eastAsia="zh-CN"/>
        </w:rPr>
        <w:t>等实物资产及</w:t>
      </w:r>
      <w:r>
        <w:rPr>
          <w:rFonts w:hint="eastAsia" w:ascii="宋体" w:hAnsi="宋体" w:eastAsia="宋体" w:cs="宋体"/>
          <w:color w:val="auto"/>
          <w:sz w:val="24"/>
          <w:szCs w:val="24"/>
          <w:highlight w:val="none"/>
        </w:rPr>
        <w:t>河南省华锐光电产业有限公司</w:t>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股权。</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三、评估基准日</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四、评估报告使用者和使用方式</w:t>
      </w:r>
    </w:p>
    <w:p>
      <w:pPr>
        <w:pStyle w:val="8"/>
        <w:keepNext w:val="0"/>
        <w:keepLines w:val="0"/>
        <w:pageBreakBefore w:val="0"/>
        <w:widowControl w:val="0"/>
        <w:kinsoku/>
        <w:wordWrap/>
        <w:overflowPunct/>
        <w:topLinePunct w:val="0"/>
        <w:bidi w:val="0"/>
        <w:adjustRightInd/>
        <w:snapToGrid/>
        <w:spacing w:line="480" w:lineRule="exact"/>
        <w:ind w:left="0" w:leftChars="0" w:firstLine="3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1、本项目资产评估报告的使用者包括：委托人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委托人许可使用的第三方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行政法规规定的使用人，其他任何机构和个人不能成为本项目资产评估报告的使用人。</w:t>
      </w:r>
    </w:p>
    <w:p>
      <w:pPr>
        <w:pStyle w:val="8"/>
        <w:keepNext w:val="0"/>
        <w:keepLines w:val="0"/>
        <w:pageBreakBefore w:val="0"/>
        <w:widowControl w:val="0"/>
        <w:kinsoku/>
        <w:wordWrap/>
        <w:overflowPunct/>
        <w:topLinePunct w:val="0"/>
        <w:bidi w:val="0"/>
        <w:adjustRightInd/>
        <w:snapToGrid/>
        <w:spacing w:line="480" w:lineRule="exact"/>
        <w:ind w:left="0" w:leftChars="0" w:firstLine="3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或者其他资产评估报告使用人应当按照法律、行政法规规定和资产评估报告载明的使用目的及用途使用资产评估报告。委托人或者其他资产评估报告使用人违反前述约定使用资产评估报告的，资产评估机构及其资产评估专业人员不承担责任。</w:t>
      </w:r>
    </w:p>
    <w:p>
      <w:pPr>
        <w:pStyle w:val="8"/>
        <w:keepNext w:val="0"/>
        <w:keepLines w:val="0"/>
        <w:pageBreakBefore w:val="0"/>
        <w:widowControl w:val="0"/>
        <w:kinsoku/>
        <w:wordWrap/>
        <w:overflowPunct/>
        <w:topLinePunct w:val="0"/>
        <w:bidi w:val="0"/>
        <w:adjustRightInd/>
        <w:snapToGrid/>
        <w:spacing w:line="480" w:lineRule="exact"/>
        <w:ind w:left="0" w:leftChars="0" w:firstLine="3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3、未经委托人书面许可，资产评估机构及其资产评估专业人员不得将资产评估报告的内容向第三方提供或者公开，法律、行政法规另有规定的除外。</w:t>
      </w:r>
    </w:p>
    <w:p>
      <w:pPr>
        <w:pStyle w:val="8"/>
        <w:keepNext w:val="0"/>
        <w:keepLines w:val="0"/>
        <w:pageBreakBefore w:val="0"/>
        <w:widowControl w:val="0"/>
        <w:kinsoku/>
        <w:wordWrap/>
        <w:overflowPunct/>
        <w:topLinePunct w:val="0"/>
        <w:bidi w:val="0"/>
        <w:adjustRightInd/>
        <w:snapToGrid/>
        <w:spacing w:line="480" w:lineRule="exact"/>
        <w:ind w:left="0" w:leftChars="0" w:firstLine="3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4、未征得资产评估机构同意，资产评估报告的内容不得被摘抄、引用或者披露于公开媒体，法律、行政法规规定以及相关当事人另有约定的除外。</w:t>
      </w:r>
    </w:p>
    <w:p>
      <w:pPr>
        <w:pStyle w:val="8"/>
        <w:keepNext w:val="0"/>
        <w:keepLines w:val="0"/>
        <w:pageBreakBefore w:val="0"/>
        <w:widowControl w:val="0"/>
        <w:kinsoku/>
        <w:wordWrap/>
        <w:overflowPunct/>
        <w:topLinePunct w:val="0"/>
        <w:bidi w:val="0"/>
        <w:adjustRightInd/>
        <w:snapToGrid/>
        <w:spacing w:line="480" w:lineRule="exact"/>
        <w:ind w:left="0" w:leftChars="0" w:firstLine="36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5、委托人应当在评估报告载明的评估结论使用有效期内使用本资产评估报告的结论。本资产评估报告评估结论的使用有效期为：自评估基准日起1年。  </w:t>
      </w:r>
    </w:p>
    <w:p>
      <w:pPr>
        <w:keepNext w:val="0"/>
        <w:keepLines w:val="0"/>
        <w:pageBreakBefore w:val="0"/>
        <w:widowControl w:val="0"/>
        <w:kinsoku/>
        <w:wordWrap/>
        <w:overflowPunct/>
        <w:topLinePunct w:val="0"/>
        <w:bidi w:val="0"/>
        <w:adjustRightInd/>
        <w:snapToGrid/>
        <w:spacing w:line="480" w:lineRule="exact"/>
        <w:ind w:left="0" w:left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五、评估报告提交时间、地点及方式</w:t>
      </w:r>
    </w:p>
    <w:p>
      <w:pPr>
        <w:keepNext w:val="0"/>
        <w:keepLines w:val="0"/>
        <w:pageBreakBefore w:val="0"/>
        <w:widowControl w:val="0"/>
        <w:kinsoku/>
        <w:wordWrap/>
        <w:overflowPunct/>
        <w:topLinePunct w:val="0"/>
        <w:bidi w:val="0"/>
        <w:adjustRightInd/>
        <w:snapToGrid/>
        <w:spacing w:line="48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1、委托人、受托人双方初步约定资产评估报告提交时间为被评估单位（或产权持有人）提交全部评估申报资料</w:t>
      </w:r>
      <w:r>
        <w:rPr>
          <w:rFonts w:hint="eastAsia" w:ascii="宋体" w:hAnsi="宋体" w:eastAsia="宋体" w:cs="宋体"/>
          <w:bCs/>
          <w:color w:val="auto"/>
          <w:sz w:val="24"/>
          <w:szCs w:val="24"/>
          <w:highlight w:val="none"/>
        </w:rPr>
        <w:t>后的</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rPr>
        <w:t>个工作日内；</w:t>
      </w:r>
      <w:r>
        <w:rPr>
          <w:rFonts w:hint="eastAsia" w:ascii="宋体" w:hAnsi="宋体" w:eastAsia="宋体" w:cs="宋体"/>
          <w:color w:val="auto"/>
          <w:sz w:val="24"/>
          <w:szCs w:val="24"/>
          <w:highlight w:val="none"/>
        </w:rPr>
        <w:t>因委托人（或被评估单位、产权持有人）的需要或不可抗力因素导致延长提交报告时间的，由委托人、受托人双方另行协商。</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2、资产评估报告提交方式为：</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纸质版资产评估报告，以受托人的联系人当面提交或邮寄到本合同约定的委托人住所地为准。纸质版资产评估报告提交份数为肆份。</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六、资产评估服务费、支付时间及方式</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1、按照有关资产评估服务收费标准，经委托人、受托人双方商定，本项目的资产评估服务费金额为人民币***万元整（***万元）。</w:t>
      </w:r>
    </w:p>
    <w:p>
      <w:pPr>
        <w:keepNext w:val="0"/>
        <w:keepLines w:val="0"/>
        <w:pageBreakBefore w:val="0"/>
        <w:widowControl w:val="0"/>
        <w:kinsoku/>
        <w:wordWrap/>
        <w:overflowPunct/>
        <w:topLinePunct w:val="0"/>
        <w:bidi w:val="0"/>
        <w:adjustRightInd/>
        <w:snapToGrid/>
        <w:spacing w:line="480" w:lineRule="exact"/>
        <w:ind w:left="0" w:lef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2、资产评估服务费的支付方式为：</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受托人向委托人</w:t>
      </w:r>
      <w:r>
        <w:rPr>
          <w:rFonts w:hint="eastAsia" w:ascii="宋体" w:hAnsi="宋体" w:eastAsia="宋体" w:cs="宋体"/>
          <w:bCs/>
          <w:color w:val="auto"/>
          <w:sz w:val="24"/>
          <w:szCs w:val="24"/>
          <w:highlight w:val="none"/>
        </w:rPr>
        <w:t>提交正式资产评估报告</w:t>
      </w:r>
      <w:r>
        <w:rPr>
          <w:rFonts w:hint="eastAsia" w:ascii="宋体" w:hAnsi="宋体" w:eastAsia="宋体" w:cs="宋体"/>
          <w:color w:val="auto"/>
          <w:sz w:val="24"/>
          <w:szCs w:val="24"/>
          <w:highlight w:val="none"/>
        </w:rPr>
        <w:t>后的</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委托人向受托人指定的银行账户</w:t>
      </w:r>
      <w:r>
        <w:rPr>
          <w:rFonts w:hint="eastAsia" w:ascii="宋体" w:hAnsi="宋体" w:eastAsia="宋体" w:cs="宋体"/>
          <w:color w:val="auto"/>
          <w:sz w:val="24"/>
          <w:szCs w:val="24"/>
          <w:highlight w:val="none"/>
          <w:lang w:val="en-US" w:eastAsia="zh-CN"/>
        </w:rPr>
        <w:t>一次性支付</w:t>
      </w:r>
      <w:r>
        <w:rPr>
          <w:rFonts w:hint="eastAsia" w:ascii="宋体" w:hAnsi="宋体" w:eastAsia="宋体" w:cs="宋体"/>
          <w:color w:val="auto"/>
          <w:sz w:val="24"/>
          <w:szCs w:val="24"/>
          <w:highlight w:val="none"/>
        </w:rPr>
        <w:t>评估服务费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受托方在收款前向付款人开具等额增值税专用发票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3、受托人指定以下银行账户为接收上述资产评估服务费的专用账户</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开 户  银 行：</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 xml:space="preserve">      账        户：</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      户        名：</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480" w:lineRule="exact"/>
        <w:ind w:left="0" w:leftChars="0" w:firstLine="723" w:firstLineChars="3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纳税人识别号：</w:t>
      </w:r>
      <w:r>
        <w:rPr>
          <w:rFonts w:hint="eastAsia" w:ascii="宋体" w:hAnsi="宋体" w:eastAsia="宋体" w:cs="宋体"/>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七、合同当事人的权利和义务</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1、委托人的权利和义务</w:t>
      </w:r>
    </w:p>
    <w:p>
      <w:pPr>
        <w:pStyle w:val="9"/>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（1）委托人应当（包含督促被评估单位、产权持有人）依法提供资产评估业务需要的资料并保证资料的真实性、完整性、合法性；恰当使用资产评估报告是委托人和其他相关当事人的责任。</w:t>
      </w:r>
    </w:p>
    <w:p>
      <w:pPr>
        <w:pStyle w:val="9"/>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（2）委托人或者其他相关当事人（包含被评估单位、产权持有人）应当对其提供的资产评估明细表及其他重要资料的真实性、完整性、合法性进行确认，确认方式包括签字、盖章或者法律允许的其他方式。</w:t>
      </w:r>
    </w:p>
    <w:p>
      <w:pPr>
        <w:pStyle w:val="9"/>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委托人应当为资产评估机构及其资产评估专业人员开展资产评估业务提供必要的工作条件和协助；委托人应当根据资产评估业务需要，负责资产评估机构及其资产评估专业人员与其他相关当事人之间的协调；以及按约定为受托方提供交通、食宿安排。</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（4）委托人对资产评估报告有异议的，可以要求评估机构解释或说明。</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（5）按本合同约定的标准、方式及条件支付资产评估服务费用。</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2、受托人的权利和义务</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（1）遵守相关法律、行政法规和资产评估准则，对评估对象在评估基准日特定目的下的价值进行分析和估算并出具资产评估报告，是资产评估机构及其资产评估专业人员的责任。</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对联创电子用于二期出资的设备等实物资产的实用性、先进性，以及用于出资的实物资产与股权市场价值的公允性进行审核。</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应当回避指派与委托人或者其他相关当事人及评估对象有利害关系的人员承办本资产评估事项。</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）委托人和其他相关当事人（包含被评估单位、产权持有人）如果拒绝提供或者不如实提供开展资产评估业务所需的权属证明、财务会计信息或者其他相关资料的，资产评估机构有权拒绝履行资产评估委托合同。</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因委托人或者其他相关当事人（包含被评估单位、产权持有人）原因导致资产评估程序受限，资产评估机构无法履行资产评估委托合同，资产评估机构可以单方解除资产评估委托合同；受托人有权要求委托人按照已经开展资产评估业务的时间、进度，或者已经完成的工作量支付相应的评估服务费。</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）对委托人（包含被评估单位、产权持有人）提供的全部资料严守秘密；未经委托人许可，受托人不得将资产评估报告的内容、评估结论向第三方提供或者公开，法律、法规另有规定的除外。</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）依法、合规履行评估程序并保持与委托人及被评估单位（产权持有人）的密切沟通；就资产评估报告涉及的重大政策、评估思路和技术问题向委托人及被评估单位（产权持有人）进行解释和说明。</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八、中（终）止事项</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1、若遇到评估过程中出现以下中止情况的，委托人应在受托人书面催告后的十个工作内解决中止事项，以利于本合同的履行。</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（1）因委托人或被评估单位（产权持有人）原因造成受托人的评估程序中止的。</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（2）当评估程序受到限制，导致对评估结论构成重大影响时，受托人可以中止本合同。</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受托人书面催告，委托人不能解决中止事由的，受托人可以单方解除合同，并有权要求委托人支付与受托人已经开展资产评估业务的时间、进度，或者与已经完成工作量相应的评估服务费和已垫付的差旅等费用及违约金（全部评估服务费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3、委托人提前终止资产评估业务、解除资产评估委托合同的，委托人应当按照已经开展资产评估业务的时间、进度，或者已经完成的工作量支付相应的评估服务费。</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当事人因不可抗力无法履行资产评估委托合同的，根据不可抗力的影响，部分或者全部免除责任，法律另有规定的除外。委托人应当按照已经开展资产评估业务的时间、进度，或者已经完成的工作量支付相应的评估服务费。</w:t>
      </w:r>
    </w:p>
    <w:p>
      <w:pPr>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九、争议解决</w:t>
      </w:r>
    </w:p>
    <w:p>
      <w:pPr>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因本合同或执行本合同产生的任何争议，应当由委托人、受托人双方协商解决。如协商不成，可以提交南京仲裁委员会进行仲裁，仲裁裁决具有终局性，双方都应遵守、执行。 </w:t>
      </w:r>
    </w:p>
    <w:p>
      <w:pPr>
        <w:pStyle w:val="9"/>
        <w:keepNext w:val="0"/>
        <w:keepLines w:val="0"/>
        <w:pageBreakBefore w:val="0"/>
        <w:widowControl w:val="0"/>
        <w:kinsoku/>
        <w:wordWrap/>
        <w:overflowPunct/>
        <w:topLinePunct w:val="0"/>
        <w:bidi w:val="0"/>
        <w:adjustRightInd/>
        <w:snapToGrid/>
        <w:spacing w:line="48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十、其他约定</w:t>
      </w:r>
    </w:p>
    <w:p>
      <w:pPr>
        <w:pStyle w:val="9"/>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中所列之委托人、受托人的住所地、电话、邮箱为双方确定的联系方式。受托人向委托人按该住所地邮寄、邮箱发送资料（含资产评估报告）的，视为受托人履行了本合同约定或法律规定的提交资产评估报告、通知及催告等义务。</w:t>
      </w:r>
    </w:p>
    <w:p>
      <w:pPr>
        <w:pStyle w:val="9"/>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订立后发现相关事项存在遗漏、约定不明确，或者在合同履行中约定内容发生变化的（包含不限于）：委托人的经济行为方案发生变化而出现事先未曾约定的新增评估事项的；因评估目的、评估对象、评估基准日、价值类型发生变化，导致原委托事项性质发生变化的；原委托评估范围发生较大变化，导致受托人需再次进入现场重新进行现场勘查、资产核实并调整、补充出具评估报告的，受托人与委托人应当订立补充合同或者重新订立资产评估委托合同，或者以法律允许的其他方式对资产评估委托合同的相关条款做出后续约定。</w:t>
      </w:r>
    </w:p>
    <w:p>
      <w:pPr>
        <w:pStyle w:val="9"/>
        <w:keepNext w:val="0"/>
        <w:keepLines w:val="0"/>
        <w:pageBreakBefore w:val="0"/>
        <w:widowControl w:val="0"/>
        <w:kinsoku/>
        <w:wordWrap/>
        <w:overflowPunct/>
        <w:topLinePunct w:val="0"/>
        <w:bidi w:val="0"/>
        <w:adjustRightInd/>
        <w:snapToGrid/>
        <w:spacing w:line="480" w:lineRule="exact"/>
        <w:ind w:left="0" w:leftChars="0"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3、本合同一式肆份，委托人持贰份、受托人持贰份。</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b/>
          <w:color w:val="auto"/>
          <w:sz w:val="24"/>
          <w:szCs w:val="24"/>
          <w:highlight w:val="none"/>
          <w:lang w:val="en-US" w:eastAsia="zh-CN"/>
        </w:rPr>
        <w:t xml:space="preserve">黄石市国有资产经营有限公司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受托人：</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公司</w:t>
      </w:r>
    </w:p>
    <w:p>
      <w:pPr>
        <w:rPr>
          <w:rFonts w:hint="eastAsia" w:ascii="宋体" w:hAnsi="宋体" w:eastAsia="宋体" w:cs="宋体"/>
          <w:color w:val="auto"/>
          <w:sz w:val="24"/>
          <w:szCs w:val="24"/>
          <w:highlight w:val="none"/>
        </w:rPr>
      </w:pPr>
    </w:p>
    <w:p>
      <w:pPr>
        <w:spacing w:line="240" w:lineRule="auto"/>
        <w:ind w:left="5040" w:hanging="5760" w:hanging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w:t>
      </w:r>
      <w:r>
        <w:rPr>
          <w:rFonts w:hint="eastAsia" w:ascii="宋体" w:hAnsi="宋体" w:eastAsia="宋体" w:cs="宋体"/>
          <w:color w:val="auto"/>
          <w:sz w:val="24"/>
          <w:szCs w:val="24"/>
          <w:highlight w:val="none"/>
          <w:lang w:val="en-US" w:eastAsia="zh-CN"/>
        </w:rPr>
        <w:t>黄石经济开发区光谷联合科技城14栋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住所地：</w:t>
      </w:r>
    </w:p>
    <w:p>
      <w:pPr>
        <w:spacing w:line="24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                          法定代表人（签名）：</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                                联系人及电话 ：</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beforeLines="30" w:afterLines="30" w:line="400" w:lineRule="atLeast"/>
        <w:rPr>
          <w:color w:val="auto"/>
          <w:sz w:val="24"/>
          <w:highlight w:val="none"/>
        </w:rPr>
      </w:pPr>
    </w:p>
    <w:p>
      <w:pPr>
        <w:pStyle w:val="2"/>
        <w:keepNext w:val="0"/>
        <w:keepLines w:val="0"/>
        <w:widowControl/>
        <w:spacing w:beforeLines="50" w:afterLines="50" w:line="480" w:lineRule="exact"/>
        <w:ind w:firstLine="879"/>
        <w:jc w:val="center"/>
        <w:rPr>
          <w:rFonts w:hint="eastAsia" w:ascii="宋体" w:hAnsi="宋体" w:eastAsia="宋体" w:cs="宋体"/>
          <w:color w:val="auto"/>
          <w:kern w:val="2"/>
          <w:sz w:val="36"/>
          <w:highlight w:val="none"/>
          <w:shd w:val="clear" w:color="auto" w:fill="FFFFFF"/>
        </w:rPr>
      </w:pPr>
      <w:bookmarkStart w:id="94" w:name="_Toc25707"/>
    </w:p>
    <w:p>
      <w:pPr>
        <w:rPr>
          <w:rFonts w:hint="eastAsia" w:ascii="宋体" w:hAnsi="宋体" w:eastAsia="宋体" w:cs="宋体"/>
          <w:color w:val="auto"/>
          <w:kern w:val="2"/>
          <w:sz w:val="36"/>
          <w:highlight w:val="none"/>
          <w:shd w:val="clear" w:color="auto" w:fill="FFFFFF"/>
        </w:rPr>
      </w:pPr>
    </w:p>
    <w:p>
      <w:pPr>
        <w:pStyle w:val="2"/>
        <w:rPr>
          <w:rFonts w:hint="eastAsia"/>
          <w:color w:val="auto"/>
          <w:highlight w:val="none"/>
        </w:rPr>
      </w:pPr>
    </w:p>
    <w:p>
      <w:pPr>
        <w:pStyle w:val="2"/>
        <w:keepNext w:val="0"/>
        <w:keepLines w:val="0"/>
        <w:widowControl/>
        <w:spacing w:beforeLines="50" w:afterLines="50" w:line="480" w:lineRule="exact"/>
        <w:ind w:firstLine="879"/>
        <w:jc w:val="center"/>
        <w:rPr>
          <w:rFonts w:hint="eastAsia" w:ascii="宋体" w:hAnsi="宋体" w:eastAsia="宋体" w:cs="宋体"/>
          <w:color w:val="auto"/>
          <w:kern w:val="2"/>
          <w:sz w:val="36"/>
          <w:highlight w:val="none"/>
          <w:shd w:val="clear" w:color="auto" w:fill="FFFFFF"/>
        </w:rPr>
      </w:pPr>
    </w:p>
    <w:p>
      <w:pPr>
        <w:rPr>
          <w:rFonts w:hint="eastAsia" w:ascii="宋体" w:hAnsi="宋体" w:eastAsia="宋体" w:cs="宋体"/>
          <w:color w:val="auto"/>
          <w:kern w:val="2"/>
          <w:sz w:val="36"/>
          <w:highlight w:val="none"/>
          <w:shd w:val="clear" w:color="auto" w:fill="FFFFFF"/>
        </w:rPr>
      </w:pPr>
    </w:p>
    <w:p>
      <w:pPr>
        <w:pStyle w:val="2"/>
        <w:rPr>
          <w:rFonts w:hint="eastAsia" w:ascii="宋体" w:hAnsi="宋体" w:eastAsia="宋体" w:cs="宋体"/>
          <w:color w:val="auto"/>
          <w:kern w:val="2"/>
          <w:sz w:val="36"/>
          <w:highlight w:val="none"/>
          <w:shd w:val="clear" w:color="auto" w:fill="FFFFFF"/>
        </w:rPr>
      </w:pPr>
    </w:p>
    <w:p>
      <w:pPr>
        <w:rPr>
          <w:rFonts w:hint="eastAsia"/>
          <w:color w:val="auto"/>
          <w:highlight w:val="none"/>
        </w:rPr>
      </w:pPr>
    </w:p>
    <w:p>
      <w:pPr>
        <w:pStyle w:val="2"/>
        <w:keepNext w:val="0"/>
        <w:keepLines w:val="0"/>
        <w:widowControl/>
        <w:spacing w:beforeLines="50" w:afterLines="50" w:line="480" w:lineRule="exact"/>
        <w:ind w:firstLine="879"/>
        <w:jc w:val="center"/>
        <w:rPr>
          <w:rFonts w:ascii="宋体" w:hAnsi="宋体" w:eastAsia="宋体" w:cs="宋体"/>
          <w:color w:val="auto"/>
          <w:kern w:val="2"/>
          <w:sz w:val="36"/>
          <w:highlight w:val="none"/>
          <w:shd w:val="clear" w:color="auto" w:fill="FFFFFF"/>
        </w:rPr>
      </w:pPr>
      <w:r>
        <w:rPr>
          <w:rFonts w:hint="eastAsia" w:ascii="宋体" w:hAnsi="宋体" w:eastAsia="宋体" w:cs="宋体"/>
          <w:color w:val="auto"/>
          <w:kern w:val="2"/>
          <w:sz w:val="36"/>
          <w:highlight w:val="none"/>
          <w:shd w:val="clear" w:color="auto" w:fill="FFFFFF"/>
        </w:rPr>
        <w:t>第五章  参选文件格式</w:t>
      </w:r>
      <w:bookmarkEnd w:id="94"/>
    </w:p>
    <w:p>
      <w:pPr>
        <w:spacing w:line="480" w:lineRule="exact"/>
        <w:jc w:val="center"/>
        <w:rPr>
          <w:rFonts w:ascii="宋体" w:hAnsi="宋体" w:cs="宋体"/>
          <w:b/>
          <w:color w:val="auto"/>
          <w:sz w:val="24"/>
          <w:highlight w:val="none"/>
        </w:rPr>
      </w:pPr>
      <w:bookmarkStart w:id="95" w:name="_Toc492460498"/>
      <w:bookmarkStart w:id="96" w:name="_Toc9896"/>
      <w:bookmarkStart w:id="97" w:name="_Toc28440"/>
      <w:bookmarkStart w:id="98" w:name="_Toc26391"/>
      <w:bookmarkStart w:id="99" w:name="_Hlk43371239"/>
      <w:r>
        <w:rPr>
          <w:rFonts w:hint="eastAsia" w:ascii="宋体" w:hAnsi="宋体" w:cs="宋体"/>
          <w:b/>
          <w:color w:val="auto"/>
          <w:sz w:val="24"/>
          <w:highlight w:val="none"/>
        </w:rPr>
        <w:t>1、参选函</w:t>
      </w:r>
      <w:bookmarkEnd w:id="95"/>
      <w:bookmarkEnd w:id="96"/>
      <w:bookmarkEnd w:id="97"/>
      <w:bookmarkEnd w:id="98"/>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选人）：</w:t>
      </w:r>
    </w:p>
    <w:p>
      <w:pPr>
        <w:widowControl/>
        <w:spacing w:line="360" w:lineRule="auto"/>
        <w:ind w:firstLine="360" w:firstLineChars="150"/>
        <w:jc w:val="left"/>
        <w:rPr>
          <w:rFonts w:ascii="宋体" w:hAnsi="宋体" w:cs="宋体"/>
          <w:bCs/>
          <w:color w:val="auto"/>
          <w:sz w:val="24"/>
          <w:highlight w:val="none"/>
        </w:rPr>
      </w:pPr>
      <w:r>
        <w:rPr>
          <w:rFonts w:hint="eastAsia" w:ascii="宋体" w:hAnsi="宋体" w:cs="宋体"/>
          <w:bCs/>
          <w:color w:val="auto"/>
          <w:sz w:val="24"/>
          <w:highlight w:val="none"/>
        </w:rPr>
        <w:t>依据贵方</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bCs/>
          <w:color w:val="auto"/>
          <w:sz w:val="24"/>
          <w:highlight w:val="none"/>
          <w:u w:val="single"/>
        </w:rPr>
        <w:t>(</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选项目名称) 项目的</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选邀请，我方代表</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（姓名、职务）经正式授权并代表参选人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（参选人名称、地址）提交下述文件正本一份，副本一份。</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1参选函；2法定代表人身份证明书； 3法定代表人授权委托书； 4近三年无重大违法记录声明； 5参选报价一览表；  6技术部分证明资料；7商务部分证明资料； 8；其他需提供的相关资料</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在此，我方宣布同意如下：</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 我所附《参选报价一览表》中规定的总价为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（注明币种，并用文字和数字表示总价）。</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 我方将按</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选文件的约定履行合同责任和义务。</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 我方已详细审查全部</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 xml:space="preserve">选文件，包括 </w:t>
      </w:r>
      <w:r>
        <w:rPr>
          <w:rFonts w:hint="eastAsia" w:ascii="宋体" w:hAnsi="宋体" w:cs="宋体"/>
          <w:bCs/>
          <w:color w:val="auto"/>
          <w:sz w:val="24"/>
          <w:highlight w:val="none"/>
          <w:u w:val="single"/>
        </w:rPr>
        <w:t xml:space="preserve">    （补充文件）</w:t>
      </w:r>
      <w:r>
        <w:rPr>
          <w:rFonts w:hint="eastAsia" w:ascii="宋体" w:hAnsi="宋体" w:cs="宋体"/>
          <w:bCs/>
          <w:color w:val="auto"/>
          <w:sz w:val="24"/>
          <w:highlight w:val="none"/>
        </w:rPr>
        <w:t>，对此无异议。</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 同意提供按照贵方可能要求的与其</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选有关的一切数据或资料。</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且承诺：</w:t>
      </w:r>
    </w:p>
    <w:p>
      <w:pPr>
        <w:spacing w:line="480" w:lineRule="exact"/>
        <w:ind w:firstLine="480" w:firstLineChars="200"/>
        <w:rPr>
          <w:rFonts w:ascii="宋体" w:hAnsi="宋体"/>
          <w:color w:val="auto"/>
          <w:sz w:val="24"/>
          <w:szCs w:val="24"/>
          <w:highlight w:val="none"/>
        </w:rPr>
      </w:pPr>
      <w:r>
        <w:rPr>
          <w:rFonts w:hint="eastAsia" w:ascii="宋体" w:hAnsi="宋体" w:cs="宋体"/>
          <w:bCs/>
          <w:color w:val="auto"/>
          <w:sz w:val="24"/>
          <w:highlight w:val="none"/>
        </w:rPr>
        <w:t>与参加本项目</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选活动的其他参选人之间不存在单位负责人为同一人或者存在直接控股、管理关系的情形。</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参选人名称(公章)：</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地址：</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电话：                   传真：</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参选人法定代表人或法定代表人授权代表签字：</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开户银行：</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账号/行号：</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日期：</w:t>
      </w:r>
    </w:p>
    <w:p>
      <w:pPr>
        <w:spacing w:line="480" w:lineRule="exact"/>
        <w:rPr>
          <w:rFonts w:ascii="宋体" w:hAnsi="宋体" w:cs="宋体"/>
          <w:bCs/>
          <w:color w:val="auto"/>
          <w:sz w:val="24"/>
          <w:highlight w:val="none"/>
        </w:rPr>
      </w:pPr>
    </w:p>
    <w:p>
      <w:pPr>
        <w:pStyle w:val="7"/>
        <w:spacing w:line="480" w:lineRule="exact"/>
        <w:rPr>
          <w:rFonts w:ascii="宋体" w:hAnsi="宋体" w:cs="宋体"/>
          <w:color w:val="auto"/>
          <w:sz w:val="24"/>
          <w:szCs w:val="24"/>
          <w:highlight w:val="none"/>
        </w:rPr>
      </w:pPr>
      <w:bookmarkStart w:id="100" w:name="_Hlk450185766"/>
      <w:bookmarkStart w:id="101" w:name="_Toc355787721"/>
      <w:bookmarkStart w:id="102" w:name="_Toc22531"/>
      <w:bookmarkStart w:id="103" w:name="_Toc304388439"/>
      <w:bookmarkStart w:id="104" w:name="_Toc24441"/>
      <w:bookmarkStart w:id="105" w:name="_Toc341340664"/>
      <w:bookmarkStart w:id="106" w:name="_Toc477621131"/>
    </w:p>
    <w:p>
      <w:pPr>
        <w:spacing w:line="480" w:lineRule="exact"/>
        <w:jc w:val="center"/>
        <w:rPr>
          <w:rFonts w:ascii="宋体" w:hAnsi="宋体" w:cs="宋体"/>
          <w:b/>
          <w:color w:val="auto"/>
          <w:sz w:val="24"/>
          <w:highlight w:val="none"/>
        </w:rPr>
      </w:pPr>
      <w:bookmarkStart w:id="107" w:name="_Toc492460500"/>
      <w:bookmarkStart w:id="108" w:name="_Toc23047"/>
      <w:bookmarkStart w:id="109" w:name="_Toc30343"/>
      <w:bookmarkStart w:id="110" w:name="_Toc17552"/>
      <w:r>
        <w:rPr>
          <w:rFonts w:hint="eastAsia" w:ascii="宋体" w:hAnsi="宋体" w:cs="宋体"/>
          <w:b/>
          <w:color w:val="auto"/>
          <w:sz w:val="24"/>
          <w:highlight w:val="none"/>
        </w:rPr>
        <w:t>2、法定代表人授权委托书</w:t>
      </w:r>
      <w:bookmarkEnd w:id="107"/>
      <w:bookmarkEnd w:id="108"/>
      <w:bookmarkEnd w:id="109"/>
      <w:bookmarkEnd w:id="110"/>
    </w:p>
    <w:p>
      <w:pPr>
        <w:spacing w:line="480" w:lineRule="exact"/>
        <w:rPr>
          <w:rFonts w:ascii="宋体" w:hAnsi="宋体" w:cs="宋体"/>
          <w:bCs/>
          <w:color w:val="auto"/>
          <w:sz w:val="24"/>
          <w:highlight w:val="none"/>
        </w:rPr>
      </w:pP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本授权委托书声明：我</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（姓名）系</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（参选人名称）的法定代表人，现授权委托我公司的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（姓名）为我公司签署</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（项目名称） 项目的参选文件的法定代表人授权委托代理人，我承认代理人全权代表我们签署的本项目的参选文件的内容及其在参选、评选中所签署的一切文件和处理与之有关的一切事务。</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代理人无转委权。特此委托。</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代理人：（签字）                性别：              年龄：</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身份证号码：                   职务：</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drawing>
          <wp:inline distT="0" distB="0" distL="114300" distR="114300">
            <wp:extent cx="4981575" cy="1809750"/>
            <wp:effectExtent l="0" t="0" r="9525" b="0"/>
            <wp:docPr id="1" name="图片 1" descr="664772280147623408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47722801476234084377"/>
                    <pic:cNvPicPr>
                      <a:picLocks noChangeAspect="1"/>
                    </pic:cNvPicPr>
                  </pic:nvPicPr>
                  <pic:blipFill>
                    <a:blip r:embed="rId5" cstate="print"/>
                    <a:stretch>
                      <a:fillRect/>
                    </a:stretch>
                  </pic:blipFill>
                  <pic:spPr>
                    <a:xfrm>
                      <a:off x="0" y="0"/>
                      <a:ext cx="4981575" cy="1809750"/>
                    </a:xfrm>
                    <a:prstGeom prst="rect">
                      <a:avLst/>
                    </a:prstGeom>
                    <a:noFill/>
                    <a:ln>
                      <a:noFill/>
                    </a:ln>
                  </pic:spPr>
                </pic:pic>
              </a:graphicData>
            </a:graphic>
          </wp:inline>
        </w:drawing>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参选人：（盖章）</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法定代表人：（签字或盖章）</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授权委托日期：               年       月       日</w:t>
      </w: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bookmarkEnd w:id="100"/>
    <w:bookmarkEnd w:id="101"/>
    <w:bookmarkEnd w:id="102"/>
    <w:bookmarkEnd w:id="103"/>
    <w:bookmarkEnd w:id="104"/>
    <w:bookmarkEnd w:id="105"/>
    <w:p>
      <w:pPr>
        <w:spacing w:line="480" w:lineRule="exact"/>
        <w:jc w:val="center"/>
        <w:rPr>
          <w:rFonts w:ascii="宋体" w:hAnsi="宋体" w:cs="宋体"/>
          <w:b/>
          <w:color w:val="auto"/>
          <w:sz w:val="24"/>
          <w:highlight w:val="none"/>
        </w:rPr>
      </w:pPr>
      <w:bookmarkStart w:id="111" w:name="_Toc6769"/>
      <w:bookmarkStart w:id="112" w:name="_Toc20511"/>
      <w:bookmarkStart w:id="113" w:name="_Toc4232"/>
      <w:bookmarkStart w:id="114" w:name="_Toc492460502"/>
      <w:r>
        <w:rPr>
          <w:rFonts w:hint="eastAsia" w:ascii="宋体" w:hAnsi="宋体" w:cs="宋体"/>
          <w:b/>
          <w:color w:val="auto"/>
          <w:sz w:val="24"/>
          <w:highlight w:val="none"/>
        </w:rPr>
        <w:t>3、近三年无重大违法记录声明</w:t>
      </w:r>
      <w:bookmarkEnd w:id="111"/>
      <w:bookmarkEnd w:id="112"/>
      <w:bookmarkEnd w:id="113"/>
      <w:bookmarkEnd w:id="114"/>
    </w:p>
    <w:p>
      <w:pPr>
        <w:spacing w:line="480" w:lineRule="exact"/>
        <w:rPr>
          <w:rFonts w:ascii="宋体" w:hAnsi="宋体" w:cs="宋体"/>
          <w:bCs/>
          <w:color w:val="auto"/>
          <w:sz w:val="24"/>
          <w:highlight w:val="none"/>
        </w:rPr>
      </w:pP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 xml:space="preserve">选人）    </w:t>
      </w:r>
    </w:p>
    <w:p>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我公司郑重声明，我方在参加本次</w:t>
      </w:r>
      <w:r>
        <w:rPr>
          <w:rFonts w:hint="eastAsia" w:ascii="宋体" w:hAnsi="宋体" w:cs="宋体"/>
          <w:color w:val="auto"/>
          <w:kern w:val="0"/>
          <w:sz w:val="24"/>
          <w:highlight w:val="none"/>
          <w:shd w:val="clear" w:color="auto" w:fill="FFFFFF"/>
        </w:rPr>
        <w:t>遴</w:t>
      </w:r>
      <w:r>
        <w:rPr>
          <w:rFonts w:hint="eastAsia" w:ascii="宋体" w:hAnsi="宋体" w:cs="宋体"/>
          <w:bCs/>
          <w:color w:val="auto"/>
          <w:sz w:val="24"/>
          <w:highlight w:val="none"/>
        </w:rPr>
        <w:t>选活动前三年内在经营活动中没有重大违法记录，符合相关法律规定的资格条件。我方对此声明负全部法律责任。</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 xml:space="preserve">    特此声明。</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widowControl/>
        <w:spacing w:line="480" w:lineRule="auto"/>
        <w:jc w:val="left"/>
        <w:rPr>
          <w:rFonts w:ascii="宋体" w:hAnsi="宋体" w:cs="宋体"/>
          <w:bCs/>
          <w:color w:val="auto"/>
          <w:sz w:val="24"/>
          <w:highlight w:val="none"/>
        </w:rPr>
      </w:pPr>
      <w:r>
        <w:rPr>
          <w:rFonts w:hint="eastAsia" w:ascii="宋体" w:hAnsi="宋体" w:cs="宋体"/>
          <w:bCs/>
          <w:color w:val="auto"/>
          <w:sz w:val="24"/>
          <w:highlight w:val="none"/>
        </w:rPr>
        <w:t>参选人：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（公司名称加盖公章）</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u w:val="single"/>
        </w:rPr>
      </w:pPr>
      <w:r>
        <w:rPr>
          <w:rFonts w:hint="eastAsia" w:ascii="宋体" w:hAnsi="宋体" w:cs="宋体"/>
          <w:bCs/>
          <w:color w:val="auto"/>
          <w:sz w:val="24"/>
          <w:highlight w:val="none"/>
        </w:rPr>
        <w:t>法定代表人/法定委托代理人签字：</w:t>
      </w:r>
      <w:r>
        <w:rPr>
          <w:rFonts w:hint="eastAsia" w:ascii="宋体" w:hAnsi="宋体" w:cs="宋体"/>
          <w:bCs/>
          <w:color w:val="auto"/>
          <w:sz w:val="24"/>
          <w:highlight w:val="none"/>
          <w:u w:val="single"/>
        </w:rPr>
        <w:t xml:space="preserve">             </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日   期：       年     月    日</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pStyle w:val="4"/>
        <w:rPr>
          <w:color w:val="auto"/>
          <w:highlight w:val="none"/>
        </w:rPr>
      </w:pPr>
    </w:p>
    <w:p>
      <w:pPr>
        <w:pStyle w:val="4"/>
        <w:rPr>
          <w:color w:val="auto"/>
          <w:highlight w:val="none"/>
        </w:rPr>
      </w:pPr>
    </w:p>
    <w:p>
      <w:pPr>
        <w:spacing w:line="480" w:lineRule="exact"/>
        <w:jc w:val="center"/>
        <w:rPr>
          <w:rFonts w:ascii="宋体" w:hAnsi="宋体" w:cs="宋体"/>
          <w:b/>
          <w:color w:val="auto"/>
          <w:sz w:val="24"/>
          <w:highlight w:val="none"/>
        </w:rPr>
      </w:pPr>
      <w:bookmarkStart w:id="115" w:name="_Toc18772"/>
      <w:bookmarkStart w:id="116" w:name="_Toc492460503"/>
      <w:bookmarkStart w:id="117" w:name="_Toc10570"/>
      <w:bookmarkStart w:id="118" w:name="_Toc3202"/>
      <w:r>
        <w:rPr>
          <w:rFonts w:hint="eastAsia" w:ascii="宋体" w:hAnsi="宋体" w:cs="宋体"/>
          <w:b/>
          <w:color w:val="auto"/>
          <w:sz w:val="24"/>
          <w:highlight w:val="none"/>
        </w:rPr>
        <w:t>4、</w:t>
      </w:r>
      <w:bookmarkEnd w:id="106"/>
      <w:bookmarkEnd w:id="115"/>
      <w:bookmarkEnd w:id="116"/>
      <w:bookmarkEnd w:id="117"/>
      <w:bookmarkEnd w:id="118"/>
      <w:r>
        <w:rPr>
          <w:rFonts w:hint="eastAsia" w:ascii="宋体" w:hAnsi="宋体" w:cs="宋体"/>
          <w:b/>
          <w:color w:val="auto"/>
          <w:sz w:val="24"/>
          <w:highlight w:val="none"/>
        </w:rPr>
        <w:t>参选报价一览表</w:t>
      </w:r>
    </w:p>
    <w:p>
      <w:pPr>
        <w:spacing w:line="480" w:lineRule="exact"/>
        <w:rPr>
          <w:rFonts w:ascii="宋体" w:hAnsi="宋体" w:cs="宋体"/>
          <w:bCs/>
          <w:color w:val="auto"/>
          <w:sz w:val="24"/>
          <w:highlight w:val="none"/>
        </w:rPr>
      </w:pPr>
    </w:p>
    <w:p>
      <w:pPr>
        <w:widowControl/>
        <w:jc w:val="left"/>
        <w:rPr>
          <w:rFonts w:ascii="宋体" w:hAnsi="宋体" w:cs="宋体"/>
          <w:bCs/>
          <w:color w:val="auto"/>
          <w:sz w:val="24"/>
          <w:highlight w:val="none"/>
        </w:rPr>
      </w:pPr>
      <w:bookmarkStart w:id="119" w:name="_Toc1803"/>
      <w:bookmarkStart w:id="120" w:name="_Toc21446"/>
      <w:bookmarkStart w:id="121" w:name="_Toc32455"/>
      <w:bookmarkStart w:id="122" w:name="_Toc492460504"/>
      <w:bookmarkStart w:id="123" w:name="_Toc355787723"/>
      <w:bookmarkStart w:id="124" w:name="_Toc22701"/>
      <w:bookmarkStart w:id="125" w:name="_Toc15058"/>
      <w:bookmarkStart w:id="126" w:name="_Toc9929"/>
      <w:bookmarkStart w:id="127" w:name="_Toc477621133"/>
      <w:bookmarkStart w:id="128" w:name="_Toc341340666"/>
      <w:bookmarkStart w:id="129" w:name="_Toc441235293"/>
      <w:bookmarkStart w:id="130" w:name="_Toc341340670"/>
      <w:bookmarkStart w:id="131" w:name="_Toc220232402"/>
      <w:bookmarkStart w:id="132" w:name="_Toc355787727"/>
      <w:bookmarkStart w:id="133" w:name="_Toc516969105"/>
      <w:bookmarkStart w:id="134" w:name="_Toc320969915"/>
      <w:bookmarkStart w:id="135" w:name="_Toc300210390"/>
      <w:r>
        <w:rPr>
          <w:rFonts w:hint="eastAsia" w:ascii="宋体" w:hAnsi="宋体" w:cs="宋体"/>
          <w:bCs/>
          <w:color w:val="auto"/>
          <w:sz w:val="24"/>
          <w:highlight w:val="none"/>
        </w:rPr>
        <w:t>项目名称：</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                             </w:t>
      </w:r>
      <w:r>
        <w:rPr>
          <w:rFonts w:hint="eastAsia" w:ascii="宋体" w:hAnsi="宋体" w:cs="宋体"/>
          <w:bCs/>
          <w:color w:val="auto"/>
          <w:sz w:val="24"/>
          <w:highlight w:val="none"/>
        </w:rPr>
        <w:t xml:space="preserve"> </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tbl>
      <w:tblPr>
        <w:tblStyle w:val="15"/>
        <w:tblW w:w="8616" w:type="dxa"/>
        <w:jc w:val="center"/>
        <w:tblLayout w:type="fixed"/>
        <w:tblCellMar>
          <w:top w:w="0" w:type="dxa"/>
          <w:left w:w="10" w:type="dxa"/>
          <w:bottom w:w="0" w:type="dxa"/>
          <w:right w:w="10" w:type="dxa"/>
        </w:tblCellMar>
      </w:tblPr>
      <w:tblGrid>
        <w:gridCol w:w="2228"/>
        <w:gridCol w:w="6388"/>
      </w:tblGrid>
      <w:tr>
        <w:tblPrEx>
          <w:tblCellMar>
            <w:top w:w="0" w:type="dxa"/>
            <w:left w:w="10" w:type="dxa"/>
            <w:bottom w:w="0" w:type="dxa"/>
            <w:right w:w="10" w:type="dxa"/>
          </w:tblCellMar>
        </w:tblPrEx>
        <w:trPr>
          <w:trHeight w:val="1072" w:hRule="atLeast"/>
          <w:jc w:val="center"/>
        </w:trPr>
        <w:tc>
          <w:tcPr>
            <w:tcW w:w="2228" w:type="dxa"/>
            <w:tcBorders>
              <w:top w:val="single" w:color="auto" w:sz="6" w:space="0"/>
              <w:left w:val="single" w:color="auto" w:sz="6" w:space="0"/>
              <w:right w:val="single" w:color="auto" w:sz="6" w:space="0"/>
            </w:tcBorders>
            <w:vAlign w:val="center"/>
          </w:tcPr>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报 价</w:t>
            </w:r>
          </w:p>
        </w:tc>
        <w:tc>
          <w:tcPr>
            <w:tcW w:w="6388" w:type="dxa"/>
            <w:tcBorders>
              <w:top w:val="single" w:color="auto" w:sz="6" w:space="0"/>
              <w:left w:val="single" w:color="auto" w:sz="6" w:space="0"/>
              <w:right w:val="single" w:color="auto" w:sz="6" w:space="0"/>
            </w:tcBorders>
            <w:vAlign w:val="center"/>
          </w:tcPr>
          <w:p>
            <w:pPr>
              <w:spacing w:line="480" w:lineRule="exact"/>
              <w:rPr>
                <w:rFonts w:ascii="宋体" w:hAnsi="宋体" w:cs="宋体"/>
                <w:bCs/>
                <w:color w:val="auto"/>
                <w:sz w:val="24"/>
                <w:highlight w:val="none"/>
                <w:u w:val="single"/>
              </w:rPr>
            </w:pPr>
            <w:r>
              <w:rPr>
                <w:rFonts w:hint="eastAsia" w:ascii="宋体" w:hAnsi="宋体" w:cs="宋体"/>
                <w:bCs/>
                <w:color w:val="auto"/>
                <w:sz w:val="24"/>
                <w:highlight w:val="none"/>
              </w:rPr>
              <w:t xml:space="preserve"> 小写：</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  大写：</w:t>
            </w:r>
            <w:r>
              <w:rPr>
                <w:rFonts w:hint="eastAsia" w:ascii="宋体" w:hAnsi="宋体" w:cs="宋体"/>
                <w:bCs/>
                <w:color w:val="auto"/>
                <w:sz w:val="24"/>
                <w:highlight w:val="none"/>
                <w:u w:val="single"/>
              </w:rPr>
              <w:t xml:space="preserve">                  </w:t>
            </w:r>
          </w:p>
        </w:tc>
      </w:tr>
      <w:tr>
        <w:tblPrEx>
          <w:tblCellMar>
            <w:top w:w="0" w:type="dxa"/>
            <w:left w:w="10" w:type="dxa"/>
            <w:bottom w:w="0" w:type="dxa"/>
            <w:right w:w="10" w:type="dxa"/>
          </w:tblCellMar>
        </w:tblPrEx>
        <w:trPr>
          <w:trHeight w:val="1057" w:hRule="atLeast"/>
          <w:jc w:val="center"/>
        </w:trPr>
        <w:tc>
          <w:tcPr>
            <w:tcW w:w="2228" w:type="dxa"/>
            <w:tcBorders>
              <w:top w:val="single" w:color="auto" w:sz="4" w:space="0"/>
              <w:left w:val="single" w:color="auto" w:sz="6" w:space="0"/>
              <w:bottom w:val="single" w:color="auto" w:sz="4" w:space="0"/>
              <w:right w:val="single" w:color="auto" w:sz="4" w:space="0"/>
            </w:tcBorders>
            <w:vAlign w:val="center"/>
          </w:tcPr>
          <w:p>
            <w:pPr>
              <w:spacing w:line="480" w:lineRule="exact"/>
              <w:jc w:val="center"/>
              <w:rPr>
                <w:rFonts w:ascii="宋体" w:hAnsi="宋体" w:cs="宋体"/>
                <w:bCs/>
                <w:color w:val="auto"/>
                <w:sz w:val="24"/>
                <w:highlight w:val="none"/>
                <w:lang w:val="zh-CN"/>
              </w:rPr>
            </w:pPr>
            <w:r>
              <w:rPr>
                <w:rFonts w:hint="eastAsia" w:ascii="宋体" w:hAnsi="宋体" w:cs="宋体"/>
                <w:bCs/>
                <w:color w:val="auto"/>
                <w:sz w:val="24"/>
                <w:highlight w:val="none"/>
              </w:rPr>
              <w:t>项目负责人</w:t>
            </w:r>
          </w:p>
        </w:tc>
        <w:tc>
          <w:tcPr>
            <w:tcW w:w="6388" w:type="dxa"/>
            <w:tcBorders>
              <w:top w:val="single" w:color="auto" w:sz="4" w:space="0"/>
              <w:left w:val="single" w:color="auto" w:sz="4" w:space="0"/>
              <w:bottom w:val="single" w:color="auto" w:sz="4" w:space="0"/>
              <w:right w:val="single" w:color="auto" w:sz="6" w:space="0"/>
            </w:tcBorders>
            <w:vAlign w:val="center"/>
          </w:tcPr>
          <w:p>
            <w:pPr>
              <w:spacing w:line="480" w:lineRule="exact"/>
              <w:rPr>
                <w:rFonts w:ascii="宋体" w:hAnsi="宋体" w:cs="宋体"/>
                <w:bCs/>
                <w:color w:val="auto"/>
                <w:sz w:val="24"/>
                <w:highlight w:val="none"/>
              </w:rPr>
            </w:pPr>
          </w:p>
        </w:tc>
      </w:tr>
    </w:tbl>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pStyle w:val="4"/>
        <w:rPr>
          <w:rFonts w:ascii="宋体" w:hAnsi="宋体" w:cs="宋体"/>
          <w:bCs/>
          <w:color w:val="auto"/>
          <w:sz w:val="24"/>
          <w:highlight w:val="none"/>
        </w:rPr>
      </w:pPr>
    </w:p>
    <w:p>
      <w:pPr>
        <w:pStyle w:val="4"/>
        <w:rPr>
          <w:rFonts w:ascii="宋体" w:hAnsi="宋体" w:cs="宋体"/>
          <w:bCs/>
          <w:color w:val="auto"/>
          <w:sz w:val="24"/>
          <w:highlight w:val="none"/>
        </w:rPr>
      </w:pPr>
    </w:p>
    <w:p>
      <w:pPr>
        <w:spacing w:line="480" w:lineRule="exact"/>
        <w:rPr>
          <w:rFonts w:ascii="宋体" w:hAnsi="宋体" w:cs="宋体"/>
          <w:bCs/>
          <w:color w:val="auto"/>
          <w:sz w:val="24"/>
          <w:highlight w:val="none"/>
        </w:rPr>
      </w:pPr>
    </w:p>
    <w:p>
      <w:pPr>
        <w:pStyle w:val="4"/>
        <w:rPr>
          <w:rFonts w:ascii="宋体" w:hAnsi="宋体" w:cs="宋体"/>
          <w:bCs/>
          <w:color w:val="auto"/>
          <w:sz w:val="24"/>
          <w:highlight w:val="none"/>
        </w:rPr>
      </w:pPr>
    </w:p>
    <w:p>
      <w:pPr>
        <w:pStyle w:val="4"/>
        <w:ind w:firstLine="0"/>
        <w:rPr>
          <w:rFonts w:ascii="宋体" w:hAnsi="宋体" w:cs="宋体"/>
          <w:bCs/>
          <w:color w:val="auto"/>
          <w:sz w:val="24"/>
          <w:highlight w:val="none"/>
        </w:rPr>
      </w:pPr>
    </w:p>
    <w:p>
      <w:pPr>
        <w:pStyle w:val="4"/>
        <w:rPr>
          <w:rFonts w:ascii="宋体" w:hAnsi="宋体" w:cs="宋体"/>
          <w:bCs/>
          <w:color w:val="auto"/>
          <w:sz w:val="24"/>
          <w:highlight w:val="none"/>
        </w:rPr>
      </w:pPr>
    </w:p>
    <w:p>
      <w:pPr>
        <w:pStyle w:val="4"/>
        <w:rPr>
          <w:rFonts w:ascii="宋体" w:hAnsi="宋体" w:cs="宋体"/>
          <w:bCs/>
          <w:color w:val="auto"/>
          <w:sz w:val="24"/>
          <w:highlight w:val="none"/>
        </w:rPr>
      </w:pPr>
    </w:p>
    <w:p>
      <w:pPr>
        <w:pStyle w:val="4"/>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参选人名称（公章）：</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参选人法定代表人或法定代表人授权代表签字：</w:t>
      </w: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日期:        年    月    日</w:t>
      </w: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ind w:firstLine="0"/>
        <w:rPr>
          <w:color w:val="auto"/>
          <w:sz w:val="24"/>
          <w:szCs w:val="24"/>
          <w:highlight w:val="none"/>
        </w:rPr>
      </w:pPr>
    </w:p>
    <w:p>
      <w:pPr>
        <w:pStyle w:val="4"/>
        <w:rPr>
          <w:color w:val="auto"/>
          <w:sz w:val="24"/>
          <w:szCs w:val="24"/>
          <w:highlight w:val="none"/>
        </w:rPr>
      </w:pPr>
    </w:p>
    <w:p>
      <w:pPr>
        <w:spacing w:line="480" w:lineRule="exact"/>
        <w:jc w:val="center"/>
        <w:rPr>
          <w:rFonts w:ascii="宋体" w:hAnsi="宋体" w:cs="宋体"/>
          <w:b/>
          <w:color w:val="auto"/>
          <w:sz w:val="24"/>
          <w:highlight w:val="none"/>
        </w:rPr>
      </w:pPr>
      <w:r>
        <w:rPr>
          <w:rFonts w:hint="eastAsia" w:ascii="宋体" w:hAnsi="宋体" w:cs="宋体"/>
          <w:b/>
          <w:color w:val="auto"/>
          <w:sz w:val="24"/>
          <w:highlight w:val="none"/>
        </w:rPr>
        <w:t>5、技术部分证明资料</w:t>
      </w:r>
      <w:bookmarkEnd w:id="119"/>
      <w:bookmarkEnd w:id="120"/>
      <w:bookmarkEnd w:id="121"/>
      <w:bookmarkEnd w:id="122"/>
    </w:p>
    <w:bookmarkEnd w:id="123"/>
    <w:bookmarkEnd w:id="124"/>
    <w:bookmarkEnd w:id="125"/>
    <w:bookmarkEnd w:id="126"/>
    <w:bookmarkEnd w:id="127"/>
    <w:bookmarkEnd w:id="128"/>
    <w:bookmarkEnd w:id="129"/>
    <w:p>
      <w:pPr>
        <w:spacing w:line="480" w:lineRule="exact"/>
        <w:rPr>
          <w:rFonts w:ascii="宋体" w:hAnsi="宋体" w:cs="宋体"/>
          <w:bCs/>
          <w:color w:val="auto"/>
          <w:sz w:val="24"/>
          <w:highlight w:val="none"/>
        </w:rPr>
      </w:pPr>
    </w:p>
    <w:p>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参选人根据技术部分评分标准要求准备技术方案（加盖公章）：</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pStyle w:val="4"/>
        <w:rPr>
          <w:color w:val="auto"/>
          <w:highlight w:val="none"/>
        </w:rPr>
      </w:pPr>
    </w:p>
    <w:p>
      <w:pPr>
        <w:pStyle w:val="4"/>
        <w:ind w:firstLine="0"/>
        <w:rPr>
          <w:color w:val="auto"/>
          <w:highlight w:val="none"/>
        </w:rPr>
      </w:pPr>
    </w:p>
    <w:p>
      <w:pPr>
        <w:pStyle w:val="4"/>
        <w:ind w:firstLine="0"/>
        <w:rPr>
          <w:color w:val="auto"/>
          <w:highlight w:val="none"/>
        </w:rPr>
      </w:pPr>
    </w:p>
    <w:p>
      <w:pPr>
        <w:spacing w:line="480" w:lineRule="exact"/>
        <w:jc w:val="center"/>
        <w:rPr>
          <w:rFonts w:ascii="宋体" w:hAnsi="宋体" w:cs="宋体"/>
          <w:b/>
          <w:color w:val="auto"/>
          <w:sz w:val="24"/>
          <w:highlight w:val="none"/>
        </w:rPr>
      </w:pPr>
      <w:bookmarkStart w:id="136" w:name="_Toc492460505"/>
      <w:bookmarkStart w:id="137" w:name="_Toc21950"/>
      <w:bookmarkStart w:id="138" w:name="_Toc26187"/>
      <w:bookmarkStart w:id="139" w:name="_Toc11458"/>
      <w:r>
        <w:rPr>
          <w:rFonts w:hint="eastAsia" w:ascii="宋体" w:hAnsi="宋体" w:cs="宋体"/>
          <w:b/>
          <w:color w:val="auto"/>
          <w:sz w:val="24"/>
          <w:highlight w:val="none"/>
        </w:rPr>
        <w:t>6、商务部分证明资料</w:t>
      </w:r>
      <w:bookmarkEnd w:id="136"/>
      <w:bookmarkEnd w:id="137"/>
      <w:bookmarkEnd w:id="138"/>
      <w:bookmarkEnd w:id="139"/>
      <w:bookmarkStart w:id="140" w:name="_Toc477621134"/>
      <w:bookmarkStart w:id="141" w:name="_Toc22537"/>
      <w:bookmarkStart w:id="142" w:name="_Toc19981"/>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r>
        <w:rPr>
          <w:rFonts w:hint="eastAsia" w:ascii="宋体" w:hAnsi="宋体" w:cs="宋体"/>
          <w:bCs/>
          <w:color w:val="auto"/>
          <w:sz w:val="24"/>
          <w:highlight w:val="none"/>
        </w:rPr>
        <w:t>参选人根据商务部分评分标准要求准备资料，格式自拟（加盖公章）</w:t>
      </w: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p>
      <w:pPr>
        <w:spacing w:line="480" w:lineRule="exact"/>
        <w:rPr>
          <w:rFonts w:ascii="宋体" w:hAnsi="宋体" w:cs="宋体"/>
          <w:bCs/>
          <w:color w:val="auto"/>
          <w:sz w:val="24"/>
          <w:highlight w:val="none"/>
        </w:rPr>
      </w:pPr>
    </w:p>
    <w:bookmarkEnd w:id="130"/>
    <w:bookmarkEnd w:id="131"/>
    <w:bookmarkEnd w:id="132"/>
    <w:bookmarkEnd w:id="133"/>
    <w:bookmarkEnd w:id="134"/>
    <w:bookmarkEnd w:id="135"/>
    <w:bookmarkEnd w:id="140"/>
    <w:bookmarkEnd w:id="141"/>
    <w:bookmarkEnd w:id="142"/>
    <w:p>
      <w:pPr>
        <w:spacing w:line="480" w:lineRule="exact"/>
        <w:rPr>
          <w:rFonts w:ascii="宋体" w:hAnsi="宋体" w:cs="宋体"/>
          <w:bCs/>
          <w:color w:val="auto"/>
          <w:sz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pStyle w:val="7"/>
        <w:spacing w:line="480" w:lineRule="exact"/>
        <w:rPr>
          <w:rFonts w:ascii="宋体" w:hAnsi="宋体" w:cs="宋体"/>
          <w:bCs/>
          <w:color w:val="auto"/>
          <w:sz w:val="24"/>
          <w:szCs w:val="24"/>
          <w:highlight w:val="none"/>
        </w:rPr>
      </w:pPr>
    </w:p>
    <w:p>
      <w:pPr>
        <w:spacing w:line="480" w:lineRule="exact"/>
        <w:jc w:val="center"/>
        <w:rPr>
          <w:rFonts w:ascii="宋体" w:hAnsi="宋体" w:cs="宋体"/>
          <w:b/>
          <w:color w:val="auto"/>
          <w:sz w:val="24"/>
          <w:highlight w:val="none"/>
        </w:rPr>
      </w:pPr>
      <w:bookmarkStart w:id="143" w:name="_Toc7419"/>
      <w:bookmarkStart w:id="144" w:name="_Toc6521"/>
      <w:bookmarkStart w:id="145" w:name="_Toc29170"/>
      <w:bookmarkStart w:id="146" w:name="_Toc492460506"/>
    </w:p>
    <w:p>
      <w:pPr>
        <w:spacing w:line="480" w:lineRule="exact"/>
        <w:jc w:val="center"/>
        <w:rPr>
          <w:rFonts w:ascii="宋体" w:hAnsi="宋体" w:cs="宋体"/>
          <w:b/>
          <w:color w:val="auto"/>
          <w:sz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spacing w:line="480" w:lineRule="exact"/>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p>
      <w:pPr>
        <w:spacing w:line="480" w:lineRule="exact"/>
        <w:jc w:val="center"/>
        <w:rPr>
          <w:rFonts w:ascii="宋体" w:hAnsi="宋体" w:cs="宋体"/>
          <w:b/>
          <w:color w:val="auto"/>
          <w:sz w:val="24"/>
          <w:highlight w:val="none"/>
        </w:rPr>
      </w:pPr>
    </w:p>
    <w:bookmarkEnd w:id="143"/>
    <w:bookmarkEnd w:id="144"/>
    <w:bookmarkEnd w:id="145"/>
    <w:bookmarkEnd w:id="146"/>
    <w:p>
      <w:pPr>
        <w:pStyle w:val="4"/>
        <w:ind w:left="0" w:leftChars="0" w:firstLine="0" w:firstLineChars="0"/>
        <w:rPr>
          <w:color w:val="auto"/>
          <w:sz w:val="24"/>
          <w:szCs w:val="24"/>
          <w:highlight w:val="none"/>
        </w:rPr>
      </w:pPr>
    </w:p>
    <w:p>
      <w:pPr>
        <w:pStyle w:val="4"/>
        <w:ind w:left="0" w:leftChars="0" w:firstLine="0" w:firstLineChars="0"/>
        <w:rPr>
          <w:color w:val="auto"/>
          <w:sz w:val="24"/>
          <w:szCs w:val="24"/>
          <w:highlight w:val="none"/>
        </w:rPr>
      </w:pPr>
    </w:p>
    <w:p>
      <w:pPr>
        <w:pStyle w:val="4"/>
        <w:ind w:left="0" w:leftChars="0" w:firstLine="0" w:firstLineChars="0"/>
        <w:rPr>
          <w:color w:val="auto"/>
          <w:sz w:val="24"/>
          <w:szCs w:val="24"/>
          <w:highlight w:val="none"/>
        </w:rPr>
      </w:pPr>
    </w:p>
    <w:p>
      <w:pPr>
        <w:pStyle w:val="4"/>
        <w:ind w:left="0" w:leftChars="0" w:firstLine="0" w:firstLineChars="0"/>
        <w:rPr>
          <w:color w:val="auto"/>
          <w:sz w:val="24"/>
          <w:szCs w:val="24"/>
          <w:highlight w:val="none"/>
        </w:rPr>
      </w:pPr>
    </w:p>
    <w:p>
      <w:pPr>
        <w:pStyle w:val="4"/>
        <w:ind w:left="0" w:leftChars="0" w:firstLine="0" w:firstLineChars="0"/>
        <w:rPr>
          <w:rFonts w:hint="eastAsia"/>
          <w:color w:val="auto"/>
          <w:sz w:val="24"/>
          <w:szCs w:val="24"/>
          <w:highlight w:val="none"/>
          <w:lang w:val="en-US" w:eastAsia="zh-CN"/>
        </w:rPr>
      </w:pPr>
      <w:r>
        <w:rPr>
          <w:rFonts w:hint="eastAsia"/>
          <w:color w:val="auto"/>
          <w:sz w:val="24"/>
          <w:szCs w:val="24"/>
          <w:highlight w:val="none"/>
          <w:lang w:val="en-US" w:eastAsia="zh-CN"/>
        </w:rPr>
        <w:t>.</w:t>
      </w:r>
    </w:p>
    <w:p>
      <w:pPr>
        <w:pStyle w:val="4"/>
        <w:ind w:left="0" w:leftChars="0" w:firstLine="0" w:firstLineChars="0"/>
        <w:rPr>
          <w:rFonts w:hint="eastAsia"/>
          <w:color w:val="auto"/>
          <w:sz w:val="24"/>
          <w:szCs w:val="24"/>
          <w:highlight w:val="none"/>
          <w:lang w:val="en-US" w:eastAsia="zh-CN"/>
        </w:rPr>
      </w:pPr>
    </w:p>
    <w:p>
      <w:pPr>
        <w:pStyle w:val="4"/>
        <w:ind w:left="0" w:leftChars="0" w:firstLine="0" w:firstLineChars="0"/>
        <w:rPr>
          <w:rFonts w:hint="eastAsia"/>
          <w:color w:val="auto"/>
          <w:sz w:val="24"/>
          <w:szCs w:val="24"/>
          <w:highlight w:val="none"/>
          <w:lang w:val="en-US" w:eastAsia="zh-CN"/>
        </w:rPr>
      </w:pPr>
    </w:p>
    <w:p>
      <w:pPr>
        <w:pStyle w:val="4"/>
        <w:ind w:left="0" w:leftChars="0" w:firstLine="0" w:firstLineChars="0"/>
        <w:rPr>
          <w:color w:val="auto"/>
          <w:sz w:val="24"/>
          <w:szCs w:val="24"/>
          <w:highlight w:val="none"/>
        </w:rPr>
      </w:pPr>
    </w:p>
    <w:p>
      <w:pPr>
        <w:jc w:val="center"/>
        <w:rPr>
          <w:rFonts w:ascii="宋体" w:hAnsi="宋体"/>
          <w:b/>
          <w:color w:val="auto"/>
          <w:sz w:val="24"/>
          <w:highlight w:val="none"/>
        </w:rPr>
      </w:pPr>
      <w:r>
        <w:rPr>
          <w:rFonts w:hint="eastAsia" w:ascii="宋体" w:hAnsi="宋体"/>
          <w:b/>
          <w:color w:val="auto"/>
          <w:sz w:val="24"/>
          <w:highlight w:val="none"/>
        </w:rPr>
        <w:t>7、失信被执行人查询结果</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4" w:hRule="atLeast"/>
          <w:jc w:val="center"/>
        </w:trPr>
        <w:tc>
          <w:tcPr>
            <w:tcW w:w="9118" w:type="dxa"/>
          </w:tcPr>
          <w:p>
            <w:pPr>
              <w:spacing w:line="400" w:lineRule="atLeast"/>
              <w:ind w:left="720" w:hanging="720" w:hangingChars="300"/>
              <w:rPr>
                <w:rFonts w:ascii="宋体" w:hAnsi="宋体" w:cs="宋体"/>
                <w:color w:val="auto"/>
                <w:sz w:val="24"/>
                <w:highlight w:val="none"/>
              </w:rPr>
            </w:pPr>
          </w:p>
        </w:tc>
      </w:tr>
    </w:tbl>
    <w:p>
      <w:pPr>
        <w:jc w:val="left"/>
        <w:rPr>
          <w:rFonts w:ascii="宋体" w:hAnsi="宋体"/>
          <w:color w:val="auto"/>
          <w:sz w:val="22"/>
          <w:highlight w:val="none"/>
        </w:rPr>
      </w:pPr>
      <w:r>
        <w:rPr>
          <w:rFonts w:hint="eastAsia" w:ascii="宋体" w:hAnsi="宋体"/>
          <w:color w:val="auto"/>
          <w:sz w:val="22"/>
          <w:highlight w:val="none"/>
        </w:rPr>
        <w:t xml:space="preserve">备注： </w:t>
      </w:r>
      <w:r>
        <w:rPr>
          <w:rFonts w:hint="eastAsia" w:ascii="宋体" w:hAnsi="宋体" w:cs="宋体"/>
          <w:color w:val="auto"/>
          <w:kern w:val="0"/>
          <w:sz w:val="22"/>
          <w:highlight w:val="none"/>
          <w:shd w:val="clear" w:color="auto" w:fill="FFFFFF"/>
        </w:rPr>
        <w:t>遴</w:t>
      </w:r>
      <w:r>
        <w:rPr>
          <w:rFonts w:hint="eastAsia" w:ascii="宋体" w:hAnsi="宋体"/>
          <w:color w:val="auto"/>
          <w:sz w:val="22"/>
          <w:highlight w:val="none"/>
        </w:rPr>
        <w:t>选人根据 《关于在招标投标活动中对失信被执行人实施联合惩戒的通知》 （法〔2016〕285号）的规定，自行通过“信用中国”网站（www.creditchina.gov.cn）查询供应商是否为失信被执行人，并将查询结果“截图”附在本表中。</w:t>
      </w:r>
    </w:p>
    <w:bookmarkEnd w:id="99"/>
    <w:p>
      <w:pPr>
        <w:rPr>
          <w:rFonts w:ascii="宋体" w:hAnsi="宋体"/>
          <w:color w:val="auto"/>
          <w:sz w:val="24"/>
          <w:highlight w:val="none"/>
        </w:rPr>
      </w:pP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vIGucBAADH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hopOfig9l1euTQC+LeHiCNnJqnx2A0V&#10;SA7eb9Zi2sW0QH/7Oevp/W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S68ga5wEAAMcD&#10;AAAOAAAAAAAAAAEAIAAAAB4BAABkcnMvZTJvRG9jLnhtbFBLBQYAAAAABgAGAFkBAAB3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87"/>
    <w:rsid w:val="000353A7"/>
    <w:rsid w:val="000673BA"/>
    <w:rsid w:val="0008671A"/>
    <w:rsid w:val="000868AB"/>
    <w:rsid w:val="00095B31"/>
    <w:rsid w:val="00107A85"/>
    <w:rsid w:val="001C7C8A"/>
    <w:rsid w:val="001D0F62"/>
    <w:rsid w:val="0021798E"/>
    <w:rsid w:val="00245DA9"/>
    <w:rsid w:val="002A01C7"/>
    <w:rsid w:val="002C701E"/>
    <w:rsid w:val="00320ED9"/>
    <w:rsid w:val="0034339B"/>
    <w:rsid w:val="00353BA9"/>
    <w:rsid w:val="003C4FB3"/>
    <w:rsid w:val="003E2176"/>
    <w:rsid w:val="004434F8"/>
    <w:rsid w:val="00491135"/>
    <w:rsid w:val="004A7119"/>
    <w:rsid w:val="0051240B"/>
    <w:rsid w:val="00534987"/>
    <w:rsid w:val="00552789"/>
    <w:rsid w:val="00572535"/>
    <w:rsid w:val="006123BF"/>
    <w:rsid w:val="00627D91"/>
    <w:rsid w:val="00642A1D"/>
    <w:rsid w:val="006B0430"/>
    <w:rsid w:val="006C4C65"/>
    <w:rsid w:val="007236E1"/>
    <w:rsid w:val="00756CDE"/>
    <w:rsid w:val="00791DCD"/>
    <w:rsid w:val="007C416A"/>
    <w:rsid w:val="007C7B19"/>
    <w:rsid w:val="00835F8A"/>
    <w:rsid w:val="0084065D"/>
    <w:rsid w:val="008734C2"/>
    <w:rsid w:val="0088397D"/>
    <w:rsid w:val="008A18B2"/>
    <w:rsid w:val="008C47D3"/>
    <w:rsid w:val="008C53C2"/>
    <w:rsid w:val="008D217F"/>
    <w:rsid w:val="0095747A"/>
    <w:rsid w:val="0098540F"/>
    <w:rsid w:val="009B69D6"/>
    <w:rsid w:val="009F4123"/>
    <w:rsid w:val="00A333A8"/>
    <w:rsid w:val="00A43979"/>
    <w:rsid w:val="00A60E82"/>
    <w:rsid w:val="00A73342"/>
    <w:rsid w:val="00A86650"/>
    <w:rsid w:val="00AB183F"/>
    <w:rsid w:val="00AC7223"/>
    <w:rsid w:val="00AC7A42"/>
    <w:rsid w:val="00B06532"/>
    <w:rsid w:val="00B76440"/>
    <w:rsid w:val="00B76F21"/>
    <w:rsid w:val="00B91321"/>
    <w:rsid w:val="00B96707"/>
    <w:rsid w:val="00C11262"/>
    <w:rsid w:val="00C737B6"/>
    <w:rsid w:val="00C91772"/>
    <w:rsid w:val="00C9673F"/>
    <w:rsid w:val="00CA35CA"/>
    <w:rsid w:val="00CB0AC2"/>
    <w:rsid w:val="00CC4297"/>
    <w:rsid w:val="00D22FB1"/>
    <w:rsid w:val="00D94EE7"/>
    <w:rsid w:val="00DB2B49"/>
    <w:rsid w:val="00DC0AE5"/>
    <w:rsid w:val="00DF2636"/>
    <w:rsid w:val="00E07AF9"/>
    <w:rsid w:val="00E24771"/>
    <w:rsid w:val="00E25A25"/>
    <w:rsid w:val="00E6454C"/>
    <w:rsid w:val="00E70678"/>
    <w:rsid w:val="00E82C42"/>
    <w:rsid w:val="00EB134A"/>
    <w:rsid w:val="00EB7124"/>
    <w:rsid w:val="00EC0EB3"/>
    <w:rsid w:val="00EC4297"/>
    <w:rsid w:val="00ED050D"/>
    <w:rsid w:val="00ED5CEC"/>
    <w:rsid w:val="00EE02F6"/>
    <w:rsid w:val="00EF5B3C"/>
    <w:rsid w:val="00EF7CA2"/>
    <w:rsid w:val="00F415C9"/>
    <w:rsid w:val="00F9205E"/>
    <w:rsid w:val="00FB7325"/>
    <w:rsid w:val="01AC64CB"/>
    <w:rsid w:val="02395DB3"/>
    <w:rsid w:val="02C03F90"/>
    <w:rsid w:val="0433250F"/>
    <w:rsid w:val="05B944EF"/>
    <w:rsid w:val="079F3247"/>
    <w:rsid w:val="0BB8301E"/>
    <w:rsid w:val="0C2A317F"/>
    <w:rsid w:val="0D5C3802"/>
    <w:rsid w:val="0E2619DC"/>
    <w:rsid w:val="0E872F35"/>
    <w:rsid w:val="117E2BC2"/>
    <w:rsid w:val="118A2E38"/>
    <w:rsid w:val="12076E79"/>
    <w:rsid w:val="12D8110A"/>
    <w:rsid w:val="132B0D60"/>
    <w:rsid w:val="13F032C5"/>
    <w:rsid w:val="143F1029"/>
    <w:rsid w:val="153675AE"/>
    <w:rsid w:val="15B12FCF"/>
    <w:rsid w:val="16872F63"/>
    <w:rsid w:val="173743F9"/>
    <w:rsid w:val="1877109F"/>
    <w:rsid w:val="1D5D6B8F"/>
    <w:rsid w:val="1D7E25A9"/>
    <w:rsid w:val="231537CF"/>
    <w:rsid w:val="23512FA3"/>
    <w:rsid w:val="2585238C"/>
    <w:rsid w:val="2589404B"/>
    <w:rsid w:val="260A3D98"/>
    <w:rsid w:val="284F23DA"/>
    <w:rsid w:val="290D6AE7"/>
    <w:rsid w:val="2CD00853"/>
    <w:rsid w:val="2D661C89"/>
    <w:rsid w:val="314B0AB5"/>
    <w:rsid w:val="31DC53F5"/>
    <w:rsid w:val="32412F07"/>
    <w:rsid w:val="33570049"/>
    <w:rsid w:val="335C4D18"/>
    <w:rsid w:val="337056E7"/>
    <w:rsid w:val="33AD545D"/>
    <w:rsid w:val="35427F26"/>
    <w:rsid w:val="35482457"/>
    <w:rsid w:val="354F79C4"/>
    <w:rsid w:val="36270BF5"/>
    <w:rsid w:val="37297767"/>
    <w:rsid w:val="37622431"/>
    <w:rsid w:val="38671473"/>
    <w:rsid w:val="39B57B6D"/>
    <w:rsid w:val="3A174D77"/>
    <w:rsid w:val="3CC426D0"/>
    <w:rsid w:val="3DFE7B00"/>
    <w:rsid w:val="3E5B0E1D"/>
    <w:rsid w:val="3EDD2E9B"/>
    <w:rsid w:val="404403FF"/>
    <w:rsid w:val="40DE2983"/>
    <w:rsid w:val="40F37CB5"/>
    <w:rsid w:val="42BF20E2"/>
    <w:rsid w:val="43DE3B06"/>
    <w:rsid w:val="4614589C"/>
    <w:rsid w:val="46B86C62"/>
    <w:rsid w:val="46ED7802"/>
    <w:rsid w:val="4901217C"/>
    <w:rsid w:val="49AD1A46"/>
    <w:rsid w:val="4BF52322"/>
    <w:rsid w:val="513723E9"/>
    <w:rsid w:val="52454983"/>
    <w:rsid w:val="52C1149A"/>
    <w:rsid w:val="52D445C9"/>
    <w:rsid w:val="53AB25F0"/>
    <w:rsid w:val="56D227E6"/>
    <w:rsid w:val="56FC093D"/>
    <w:rsid w:val="5AE4727F"/>
    <w:rsid w:val="5DEE4433"/>
    <w:rsid w:val="5E4D0988"/>
    <w:rsid w:val="614718AB"/>
    <w:rsid w:val="61B140C8"/>
    <w:rsid w:val="63465B05"/>
    <w:rsid w:val="64B40076"/>
    <w:rsid w:val="6556241C"/>
    <w:rsid w:val="66502567"/>
    <w:rsid w:val="69C637D8"/>
    <w:rsid w:val="6A277C89"/>
    <w:rsid w:val="6A8B5704"/>
    <w:rsid w:val="6CBE06D0"/>
    <w:rsid w:val="6F5E7AE6"/>
    <w:rsid w:val="720C6FB7"/>
    <w:rsid w:val="725400DF"/>
    <w:rsid w:val="72562710"/>
    <w:rsid w:val="73442367"/>
    <w:rsid w:val="73B90BD6"/>
    <w:rsid w:val="73FC2F59"/>
    <w:rsid w:val="74756F35"/>
    <w:rsid w:val="75F67935"/>
    <w:rsid w:val="768A2321"/>
    <w:rsid w:val="76A84A89"/>
    <w:rsid w:val="770A7057"/>
    <w:rsid w:val="795A77F8"/>
    <w:rsid w:val="7AC833D7"/>
    <w:rsid w:val="7B892BA7"/>
    <w:rsid w:val="7BA563C1"/>
    <w:rsid w:val="7E0B0B33"/>
    <w:rsid w:val="7F30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4"/>
    <w:qFormat/>
    <w:uiPriority w:val="0"/>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annotation text"/>
    <w:basedOn w:val="1"/>
    <w:semiHidden/>
    <w:unhideWhenUsed/>
    <w:qFormat/>
    <w:uiPriority w:val="99"/>
    <w:pPr>
      <w:jc w:val="left"/>
    </w:pPr>
  </w:style>
  <w:style w:type="paragraph" w:styleId="7">
    <w:name w:val="Body Text"/>
    <w:basedOn w:val="1"/>
    <w:unhideWhenUsed/>
    <w:qFormat/>
    <w:uiPriority w:val="0"/>
    <w:pPr>
      <w:spacing w:after="120"/>
    </w:pPr>
    <w:rPr>
      <w:rFonts w:ascii="Calibri" w:hAnsi="Calibri"/>
    </w:rPr>
  </w:style>
  <w:style w:type="paragraph" w:styleId="8">
    <w:name w:val="Body Text Indent"/>
    <w:basedOn w:val="1"/>
    <w:qFormat/>
    <w:uiPriority w:val="0"/>
    <w:pPr>
      <w:ind w:firstLine="420" w:firstLineChars="175"/>
    </w:pPr>
    <w:rPr>
      <w:rFonts w:ascii="Times New Roman" w:hAnsi="Times New Roman" w:eastAsia="宋体" w:cs="Times New Roman"/>
      <w:bCs/>
      <w:szCs w:val="20"/>
    </w:rPr>
  </w:style>
  <w:style w:type="paragraph" w:styleId="9">
    <w:name w:val="Plain Text"/>
    <w:basedOn w:val="1"/>
    <w:qFormat/>
    <w:uiPriority w:val="0"/>
    <w:rPr>
      <w:rFonts w:ascii="宋体" w:hAnsi="Courier New" w:eastAsia="宋体" w:cs="Times New Roman"/>
      <w:szCs w:val="21"/>
    </w:rPr>
  </w:style>
  <w:style w:type="paragraph" w:styleId="10">
    <w:name w:val="Balloon Text"/>
    <w:basedOn w:val="1"/>
    <w:link w:val="31"/>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333333"/>
      <w:u w:val="none"/>
    </w:rPr>
  </w:style>
  <w:style w:type="character" w:styleId="20">
    <w:name w:val="Emphasis"/>
    <w:basedOn w:val="16"/>
    <w:qFormat/>
    <w:uiPriority w:val="20"/>
    <w:rPr>
      <w:i/>
    </w:rPr>
  </w:style>
  <w:style w:type="character" w:styleId="21">
    <w:name w:val="Hyperlink"/>
    <w:unhideWhenUsed/>
    <w:qFormat/>
    <w:uiPriority w:val="99"/>
    <w:rPr>
      <w:color w:val="444444"/>
      <w:sz w:val="18"/>
      <w:szCs w:val="18"/>
      <w:u w:val="none"/>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character" w:customStyle="1" w:styleId="24">
    <w:name w:val="标题 2 Char"/>
    <w:basedOn w:val="16"/>
    <w:link w:val="3"/>
    <w:qFormat/>
    <w:uiPriority w:val="9"/>
    <w:rPr>
      <w:rFonts w:ascii="宋体" w:hAnsi="宋体" w:eastAsia="宋体" w:cs="宋体"/>
      <w:b/>
      <w:bCs/>
      <w:kern w:val="0"/>
      <w:sz w:val="36"/>
      <w:szCs w:val="36"/>
    </w:rPr>
  </w:style>
  <w:style w:type="character" w:customStyle="1" w:styleId="25">
    <w:name w:val="font21"/>
    <w:basedOn w:val="16"/>
    <w:qFormat/>
    <w:uiPriority w:val="0"/>
    <w:rPr>
      <w:rFonts w:hint="default" w:ascii="仿宋_GB2312" w:eastAsia="仿宋_GB2312" w:cs="仿宋_GB2312"/>
      <w:color w:val="333333"/>
      <w:sz w:val="24"/>
      <w:szCs w:val="24"/>
      <w:u w:val="none"/>
    </w:rPr>
  </w:style>
  <w:style w:type="character" w:customStyle="1" w:styleId="26">
    <w:name w:val="font01"/>
    <w:basedOn w:val="16"/>
    <w:qFormat/>
    <w:uiPriority w:val="0"/>
    <w:rPr>
      <w:rFonts w:hint="eastAsia" w:ascii="宋体" w:hAnsi="宋体" w:eastAsia="宋体" w:cs="宋体"/>
      <w:color w:val="333333"/>
      <w:sz w:val="24"/>
      <w:szCs w:val="24"/>
      <w:u w:val="none"/>
    </w:rPr>
  </w:style>
  <w:style w:type="paragraph" w:customStyle="1" w:styleId="27">
    <w:name w:val="_标题3"/>
    <w:basedOn w:val="5"/>
    <w:qFormat/>
    <w:uiPriority w:val="0"/>
    <w:pPr>
      <w:shd w:val="clear" w:color="auto" w:fill="FFFFFF"/>
      <w:spacing w:line="360" w:lineRule="auto"/>
      <w:ind w:firstLine="562" w:firstLineChars="200"/>
    </w:pPr>
    <w:rPr>
      <w:rFonts w:cs="宋体"/>
      <w:color w:val="000000"/>
      <w:sz w:val="28"/>
      <w:szCs w:val="28"/>
    </w:rPr>
  </w:style>
  <w:style w:type="paragraph" w:customStyle="1" w:styleId="28">
    <w:name w:val="_标题2"/>
    <w:basedOn w:val="3"/>
    <w:qFormat/>
    <w:uiPriority w:val="0"/>
    <w:pPr>
      <w:shd w:val="clear" w:color="auto" w:fill="FFFFFF"/>
      <w:spacing w:before="0" w:after="0" w:line="360" w:lineRule="auto"/>
    </w:pPr>
    <w:rPr>
      <w:color w:val="000000"/>
    </w:rPr>
  </w:style>
  <w:style w:type="character" w:customStyle="1" w:styleId="29">
    <w:name w:val="font31"/>
    <w:basedOn w:val="16"/>
    <w:qFormat/>
    <w:uiPriority w:val="0"/>
    <w:rPr>
      <w:rFonts w:hint="default" w:ascii="仿宋_GB2312" w:eastAsia="仿宋_GB2312" w:cs="仿宋_GB2312"/>
      <w:color w:val="333333"/>
      <w:sz w:val="24"/>
      <w:szCs w:val="24"/>
      <w:u w:val="none"/>
    </w:rPr>
  </w:style>
  <w:style w:type="character" w:customStyle="1" w:styleId="30">
    <w:name w:val="font11"/>
    <w:basedOn w:val="16"/>
    <w:qFormat/>
    <w:uiPriority w:val="0"/>
    <w:rPr>
      <w:rFonts w:hint="eastAsia" w:ascii="宋体" w:hAnsi="宋体" w:eastAsia="宋体" w:cs="宋体"/>
      <w:color w:val="333333"/>
      <w:sz w:val="24"/>
      <w:szCs w:val="24"/>
      <w:u w:val="none"/>
    </w:rPr>
  </w:style>
  <w:style w:type="character" w:customStyle="1" w:styleId="31">
    <w:name w:val="批注框文本 Char"/>
    <w:basedOn w:val="16"/>
    <w:link w:val="10"/>
    <w:semiHidden/>
    <w:qFormat/>
    <w:uiPriority w:val="99"/>
    <w:rPr>
      <w:rFonts w:asciiTheme="minorHAnsi" w:hAnsiTheme="minorHAnsi" w:eastAsiaTheme="minorEastAsia" w:cstheme="minorBidi"/>
      <w:kern w:val="2"/>
      <w:sz w:val="18"/>
      <w:szCs w:val="18"/>
    </w:rPr>
  </w:style>
  <w:style w:type="character" w:customStyle="1" w:styleId="32">
    <w:name w:val="span1"/>
    <w:basedOn w:val="16"/>
    <w:qFormat/>
    <w:uiPriority w:val="0"/>
    <w:rPr>
      <w:color w:val="666666"/>
      <w:shd w:val="clear" w:fill="EDEDED"/>
    </w:rPr>
  </w:style>
  <w:style w:type="character" w:customStyle="1" w:styleId="33">
    <w:name w:val="fr"/>
    <w:basedOn w:val="16"/>
    <w:qFormat/>
    <w:uiPriority w:val="0"/>
  </w:style>
  <w:style w:type="character" w:customStyle="1" w:styleId="34">
    <w:name w:val="first-child"/>
    <w:basedOn w:val="16"/>
    <w:qFormat/>
    <w:uiPriority w:val="0"/>
  </w:style>
  <w:style w:type="character" w:customStyle="1" w:styleId="35">
    <w:name w:val="text-overflow"/>
    <w:basedOn w:val="16"/>
    <w:qFormat/>
    <w:uiPriority w:val="0"/>
    <w:rPr>
      <w:color w:val="333333"/>
      <w:sz w:val="21"/>
      <w:szCs w:val="21"/>
    </w:rPr>
  </w:style>
  <w:style w:type="character" w:customStyle="1" w:styleId="36">
    <w:name w:val="text-overflow1"/>
    <w:basedOn w:val="16"/>
    <w:qFormat/>
    <w:uiPriority w:val="0"/>
    <w:rPr>
      <w:color w:val="1157B0"/>
    </w:rPr>
  </w:style>
  <w:style w:type="character" w:customStyle="1" w:styleId="37">
    <w:name w:val="publishtime"/>
    <w:basedOn w:val="16"/>
    <w:qFormat/>
    <w:uiPriority w:val="0"/>
    <w:rPr>
      <w:color w:val="999999"/>
      <w:sz w:val="21"/>
      <w:szCs w:val="21"/>
    </w:rPr>
  </w:style>
  <w:style w:type="character" w:customStyle="1" w:styleId="38">
    <w:name w:val="span4"/>
    <w:basedOn w:val="16"/>
    <w:qFormat/>
    <w:uiPriority w:val="0"/>
    <w:rPr>
      <w:color w:val="DD3232"/>
      <w:shd w:val="clear" w:fill="FEB5B5"/>
    </w:rPr>
  </w:style>
  <w:style w:type="character" w:customStyle="1" w:styleId="39">
    <w:name w:val="hover4"/>
    <w:basedOn w:val="16"/>
    <w:qFormat/>
    <w:uiPriority w:val="0"/>
    <w:rPr>
      <w:color w:val="333333"/>
    </w:rPr>
  </w:style>
  <w:style w:type="character" w:customStyle="1" w:styleId="40">
    <w:name w:val="last-child"/>
    <w:basedOn w:val="16"/>
    <w:qFormat/>
    <w:uiPriority w:val="0"/>
  </w:style>
  <w:style w:type="character" w:customStyle="1" w:styleId="41">
    <w:name w:val="span2"/>
    <w:basedOn w:val="16"/>
    <w:qFormat/>
    <w:uiPriority w:val="0"/>
    <w:rPr>
      <w:color w:val="FFFFFF"/>
      <w:shd w:val="clear" w:fill="263596"/>
    </w:rPr>
  </w:style>
  <w:style w:type="character" w:customStyle="1" w:styleId="42">
    <w:name w:val="span3"/>
    <w:basedOn w:val="16"/>
    <w:qFormat/>
    <w:uiPriority w:val="0"/>
    <w:rPr>
      <w:color w:val="263596"/>
    </w:rPr>
  </w:style>
  <w:style w:type="character" w:customStyle="1" w:styleId="43">
    <w:name w:val="first-child1"/>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1611</Words>
  <Characters>9185</Characters>
  <Lines>76</Lines>
  <Paragraphs>21</Paragraphs>
  <TotalTime>1</TotalTime>
  <ScaleCrop>false</ScaleCrop>
  <LinksUpToDate>false</LinksUpToDate>
  <CharactersWithSpaces>10775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2019-09-30T02:03:00Z</dcterms:created>
  <dc:creator>lenovo</dc:creator>
  <cp:lastModifiedBy>1396767678</cp:lastModifiedBy>
  <cp:lastPrinted>2021-09-01T00:50:00Z</cp:lastPrinted>
  <dcterms:modified xsi:type="dcterms:W3CDTF">2021-11-16T02:26:11Z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DE7337CAAAC748B6A5BF788613BF0608</vt:lpwstr>
  </property>
</Properties>
</file>