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93" w:rightChars="-330"/>
        <w:rPr>
          <w:rFonts w:ascii="宋体" w:hAnsi="宋体" w:cs="宋体"/>
          <w:b/>
          <w:bCs/>
          <w:kern w:val="0"/>
          <w:sz w:val="44"/>
          <w:szCs w:val="44"/>
        </w:rPr>
      </w:pPr>
    </w:p>
    <w:p>
      <w:pPr>
        <w:spacing w:line="700" w:lineRule="exact"/>
        <w:jc w:val="center"/>
        <w:rPr>
          <w:rFonts w:ascii="黑体" w:hAnsi="黑体" w:eastAsia="黑体" w:cs="方正小标宋简体"/>
          <w:b/>
          <w:bCs/>
          <w:sz w:val="52"/>
          <w:szCs w:val="52"/>
        </w:rPr>
      </w:pPr>
      <w:bookmarkStart w:id="0" w:name="_Hlk70219753"/>
      <w:r>
        <w:rPr>
          <w:rFonts w:hint="eastAsia" w:ascii="黑体" w:hAnsi="黑体" w:eastAsia="黑体" w:cs="方正小标宋简体"/>
          <w:b/>
          <w:bCs/>
          <w:sz w:val="52"/>
          <w:szCs w:val="52"/>
        </w:rPr>
        <w:t>黄石金安投资集团有限公司</w:t>
      </w:r>
    </w:p>
    <w:bookmarkEnd w:id="0"/>
    <w:p>
      <w:pPr>
        <w:spacing w:line="700" w:lineRule="exact"/>
        <w:jc w:val="center"/>
        <w:rPr>
          <w:rFonts w:hint="eastAsia" w:ascii="黑体" w:hAnsi="黑体" w:eastAsia="黑体" w:cs="方正小标宋简体"/>
          <w:b/>
          <w:bCs/>
          <w:sz w:val="52"/>
          <w:szCs w:val="52"/>
          <w:lang w:eastAsia="zh-CN"/>
        </w:rPr>
      </w:pPr>
      <w:r>
        <w:rPr>
          <w:rFonts w:hint="eastAsia" w:ascii="黑体" w:hAnsi="黑体" w:eastAsia="黑体" w:cs="方正小标宋简体"/>
          <w:b/>
          <w:bCs/>
          <w:sz w:val="52"/>
          <w:szCs w:val="52"/>
          <w:lang w:eastAsia="zh-CN"/>
        </w:rPr>
        <w:t>机关办公室装饰装修工程</w:t>
      </w:r>
    </w:p>
    <w:p>
      <w:pPr>
        <w:ind w:right="-693" w:rightChars="-330"/>
        <w:jc w:val="center"/>
        <w:rPr>
          <w:rFonts w:ascii="宋体" w:hAnsi="宋体" w:cs="宋体"/>
          <w:b/>
          <w:bCs/>
          <w:kern w:val="0"/>
          <w:sz w:val="44"/>
          <w:szCs w:val="44"/>
        </w:rPr>
      </w:pPr>
    </w:p>
    <w:p>
      <w:pPr>
        <w:ind w:right="-693" w:rightChars="-330"/>
        <w:jc w:val="center"/>
        <w:rPr>
          <w:rFonts w:ascii="宋体" w:hAnsi="宋体" w:cs="宋体"/>
          <w:b/>
          <w:bCs/>
          <w:kern w:val="0"/>
          <w:sz w:val="44"/>
          <w:szCs w:val="44"/>
        </w:rPr>
      </w:pPr>
    </w:p>
    <w:p>
      <w:pPr>
        <w:ind w:right="-693" w:rightChars="-330"/>
        <w:jc w:val="center"/>
        <w:rPr>
          <w:rFonts w:ascii="宋体" w:hAnsi="宋体" w:cs="宋体"/>
          <w:b/>
          <w:bCs/>
          <w:kern w:val="0"/>
          <w:sz w:val="44"/>
          <w:szCs w:val="44"/>
        </w:rPr>
      </w:pPr>
    </w:p>
    <w:p>
      <w:pPr>
        <w:ind w:right="-693" w:rightChars="-330"/>
        <w:jc w:val="center"/>
        <w:rPr>
          <w:rFonts w:ascii="宋体" w:hAnsi="宋体" w:cs="宋体"/>
          <w:b/>
          <w:bCs/>
          <w:kern w:val="0"/>
          <w:sz w:val="84"/>
          <w:szCs w:val="84"/>
        </w:rPr>
      </w:pPr>
      <w:r>
        <w:rPr>
          <w:rFonts w:hint="eastAsia" w:ascii="宋体" w:hAnsi="宋体" w:cs="宋体"/>
          <w:b/>
          <w:bCs/>
          <w:kern w:val="0"/>
          <w:sz w:val="84"/>
          <w:szCs w:val="84"/>
        </w:rPr>
        <w:t>竞争性磋商文件</w:t>
      </w:r>
    </w:p>
    <w:p>
      <w:pPr>
        <w:rPr>
          <w:rFonts w:ascii="宋体"/>
          <w:sz w:val="44"/>
        </w:rPr>
      </w:pPr>
    </w:p>
    <w:p>
      <w:pPr>
        <w:ind w:right="-693" w:rightChars="-330"/>
        <w:jc w:val="center"/>
        <w:rPr>
          <w:rFonts w:ascii="宋体"/>
          <w:sz w:val="44"/>
        </w:rPr>
      </w:pPr>
    </w:p>
    <w:p>
      <w:pPr>
        <w:ind w:firstLine="1440" w:firstLineChars="400"/>
        <w:rPr>
          <w:rFonts w:ascii="宋体"/>
          <w:bCs/>
          <w:sz w:val="36"/>
        </w:rPr>
      </w:pPr>
    </w:p>
    <w:p>
      <w:pPr>
        <w:spacing w:line="360" w:lineRule="auto"/>
        <w:ind w:firstLine="480" w:firstLineChars="150"/>
        <w:rPr>
          <w:rFonts w:ascii="宋体" w:hAnsi="宋体"/>
          <w:bCs/>
          <w:sz w:val="32"/>
          <w:szCs w:val="36"/>
        </w:rPr>
      </w:pPr>
    </w:p>
    <w:p>
      <w:pPr>
        <w:spacing w:line="360" w:lineRule="auto"/>
        <w:ind w:firstLine="480" w:firstLineChars="150"/>
        <w:rPr>
          <w:rFonts w:ascii="宋体" w:hAnsi="宋体"/>
          <w:bCs/>
          <w:sz w:val="32"/>
          <w:szCs w:val="36"/>
        </w:rPr>
      </w:pPr>
    </w:p>
    <w:p>
      <w:pPr>
        <w:spacing w:line="360" w:lineRule="auto"/>
        <w:ind w:firstLine="480" w:firstLineChars="150"/>
        <w:rPr>
          <w:rFonts w:ascii="宋体" w:hAnsi="宋体"/>
          <w:bCs/>
          <w:sz w:val="32"/>
          <w:szCs w:val="36"/>
        </w:rPr>
      </w:pPr>
    </w:p>
    <w:p>
      <w:pPr>
        <w:spacing w:line="700" w:lineRule="exact"/>
        <w:ind w:left="1600" w:hanging="1600" w:hangingChars="500"/>
        <w:rPr>
          <w:rFonts w:ascii="宋体" w:hAnsi="宋体"/>
          <w:bCs/>
          <w:sz w:val="32"/>
          <w:szCs w:val="36"/>
        </w:rPr>
      </w:pPr>
    </w:p>
    <w:p>
      <w:pPr>
        <w:spacing w:line="700" w:lineRule="exact"/>
        <w:ind w:left="1600" w:hanging="1600" w:hangingChars="500"/>
        <w:rPr>
          <w:rFonts w:hint="eastAsia" w:ascii="宋体" w:hAnsi="宋体" w:eastAsia="宋体" w:cs="方正小标宋简体"/>
          <w:bCs/>
          <w:sz w:val="32"/>
          <w:szCs w:val="32"/>
          <w:lang w:eastAsia="zh-CN"/>
        </w:rPr>
      </w:pPr>
      <w:r>
        <w:rPr>
          <w:rFonts w:hint="eastAsia" w:ascii="宋体" w:hAnsi="宋体"/>
          <w:bCs/>
          <w:sz w:val="32"/>
          <w:szCs w:val="36"/>
        </w:rPr>
        <w:t>项目名称</w:t>
      </w:r>
      <w:r>
        <w:rPr>
          <w:rFonts w:hint="eastAsia" w:ascii="宋体" w:hAnsi="宋体"/>
          <w:bCs/>
          <w:sz w:val="28"/>
          <w:szCs w:val="28"/>
        </w:rPr>
        <w:t>：</w:t>
      </w:r>
      <w:r>
        <w:rPr>
          <w:rFonts w:hint="eastAsia" w:ascii="宋体" w:hAnsi="宋体" w:cs="方正小标宋简体"/>
          <w:bCs/>
          <w:sz w:val="32"/>
          <w:szCs w:val="32"/>
          <w:lang w:eastAsia="zh-CN"/>
        </w:rPr>
        <w:t>金安集团机关办公室装饰装修工程</w:t>
      </w:r>
    </w:p>
    <w:p>
      <w:pPr>
        <w:spacing w:line="700" w:lineRule="exact"/>
        <w:rPr>
          <w:rFonts w:ascii="宋体" w:hAnsi="宋体" w:cs="方正小标宋简体"/>
          <w:bCs/>
          <w:sz w:val="32"/>
          <w:szCs w:val="32"/>
        </w:rPr>
      </w:pPr>
      <w:r>
        <w:rPr>
          <w:rFonts w:hint="eastAsia" w:ascii="宋体" w:hAnsi="宋体"/>
          <w:bCs/>
          <w:sz w:val="32"/>
          <w:szCs w:val="36"/>
        </w:rPr>
        <w:t>采 购 人：</w:t>
      </w:r>
      <w:r>
        <w:rPr>
          <w:rFonts w:hint="eastAsia" w:ascii="宋体" w:hAnsi="宋体" w:cs="方正小标宋简体"/>
          <w:bCs/>
          <w:sz w:val="32"/>
          <w:szCs w:val="32"/>
        </w:rPr>
        <w:t>黄石金安投资集团有限公司</w:t>
      </w:r>
      <w:r>
        <w:rPr>
          <w:rFonts w:ascii="宋体" w:hAnsi="宋体"/>
          <w:bCs/>
          <w:sz w:val="32"/>
          <w:szCs w:val="36"/>
        </w:rPr>
        <w:tab/>
      </w:r>
    </w:p>
    <w:p>
      <w:pPr>
        <w:spacing w:line="700" w:lineRule="exact"/>
        <w:ind w:left="1600" w:hanging="1600" w:hangingChars="500"/>
        <w:rPr>
          <w:rFonts w:ascii="宋体" w:hAnsi="宋体"/>
          <w:bCs/>
          <w:sz w:val="32"/>
          <w:szCs w:val="36"/>
        </w:rPr>
      </w:pPr>
      <w:r>
        <w:rPr>
          <w:rFonts w:hint="eastAsia" w:ascii="宋体" w:hAnsi="宋体"/>
          <w:bCs/>
          <w:sz w:val="32"/>
          <w:szCs w:val="36"/>
        </w:rPr>
        <w:t>日    期：2021年11月</w:t>
      </w:r>
    </w:p>
    <w:p>
      <w:pPr>
        <w:jc w:val="center"/>
        <w:rPr>
          <w:rFonts w:ascii="宋体" w:hAnsi="宋体"/>
          <w:sz w:val="32"/>
          <w:szCs w:val="32"/>
        </w:rPr>
      </w:pPr>
    </w:p>
    <w:p>
      <w:pPr>
        <w:jc w:val="center"/>
        <w:rPr>
          <w:rFonts w:ascii="Times New Roman" w:hAnsi="Times New Roman"/>
          <w:b/>
          <w:sz w:val="36"/>
          <w:szCs w:val="36"/>
        </w:rPr>
      </w:pPr>
    </w:p>
    <w:p>
      <w:pPr>
        <w:jc w:val="center"/>
        <w:rPr>
          <w:rFonts w:ascii="Times New Roman" w:hAnsi="Times New Roman"/>
          <w:b/>
          <w:sz w:val="36"/>
          <w:szCs w:val="36"/>
        </w:rPr>
      </w:pPr>
    </w:p>
    <w:p>
      <w:pPr>
        <w:jc w:val="center"/>
        <w:rPr>
          <w:rFonts w:ascii="Times New Roman" w:hAnsi="Times New Roman"/>
          <w:b/>
          <w:sz w:val="36"/>
          <w:szCs w:val="36"/>
        </w:rPr>
      </w:pPr>
    </w:p>
    <w:p>
      <w:pPr>
        <w:jc w:val="center"/>
        <w:rPr>
          <w:rFonts w:ascii="Times New Roman" w:hAnsi="Times New Roman" w:eastAsia="黑体"/>
          <w:sz w:val="44"/>
          <w:szCs w:val="44"/>
        </w:rPr>
      </w:pPr>
      <w:r>
        <w:rPr>
          <w:rFonts w:hint="eastAsia" w:ascii="Times New Roman" w:hAnsi="Times New Roman"/>
          <w:b/>
          <w:sz w:val="36"/>
          <w:szCs w:val="36"/>
        </w:rPr>
        <w:t>目    录</w:t>
      </w:r>
    </w:p>
    <w:p>
      <w:pPr>
        <w:pStyle w:val="18"/>
        <w:tabs>
          <w:tab w:val="right" w:leader="dot" w:pos="8306"/>
        </w:tabs>
        <w:spacing w:line="480" w:lineRule="auto"/>
        <w:rPr>
          <w:rFonts w:ascii="Times New Roman" w:hAnsi="Times New Roman"/>
          <w:sz w:val="32"/>
          <w:szCs w:val="32"/>
        </w:rPr>
      </w:pPr>
    </w:p>
    <w:p>
      <w:pPr>
        <w:pStyle w:val="18"/>
        <w:tabs>
          <w:tab w:val="right" w:leader="dot" w:pos="8306"/>
        </w:tabs>
        <w:spacing w:line="480" w:lineRule="auto"/>
        <w:rPr>
          <w:sz w:val="32"/>
          <w:szCs w:val="32"/>
        </w:rPr>
      </w:pPr>
      <w:r>
        <w:rPr>
          <w:rFonts w:ascii="Times New Roman" w:hAnsi="Times New Roman"/>
          <w:sz w:val="32"/>
          <w:szCs w:val="32"/>
        </w:rPr>
        <w:fldChar w:fldCharType="begin"/>
      </w:r>
      <w:r>
        <w:rPr>
          <w:rFonts w:ascii="Times New Roman" w:hAnsi="Times New Roman"/>
          <w:sz w:val="32"/>
          <w:szCs w:val="32"/>
        </w:rPr>
        <w:instrText xml:space="preserve">TOC \o "1-1" \h \u </w:instrText>
      </w:r>
      <w:r>
        <w:rPr>
          <w:rFonts w:ascii="Times New Roman" w:hAnsi="Times New Roman"/>
          <w:sz w:val="32"/>
          <w:szCs w:val="32"/>
        </w:rPr>
        <w:fldChar w:fldCharType="separate"/>
      </w:r>
      <w:r>
        <w:fldChar w:fldCharType="begin"/>
      </w:r>
      <w:r>
        <w:instrText xml:space="preserve"> HYPERLINK \l "_Toc16739" </w:instrText>
      </w:r>
      <w:r>
        <w:fldChar w:fldCharType="separate"/>
      </w:r>
      <w:r>
        <w:rPr>
          <w:rFonts w:hint="eastAsia" w:ascii="Times New Roman" w:hAnsi="Times New Roman"/>
          <w:bCs/>
          <w:sz w:val="32"/>
          <w:szCs w:val="32"/>
        </w:rPr>
        <w:t>第一章竞争性磋商采购公告</w:t>
      </w:r>
      <w:r>
        <w:rPr>
          <w:rFonts w:hint="eastAsia" w:ascii="Times New Roman" w:hAnsi="Times New Roman"/>
          <w:bCs/>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"_Toc17517" </w:instrText>
      </w:r>
      <w:r>
        <w:fldChar w:fldCharType="separate"/>
      </w:r>
      <w:r>
        <w:rPr>
          <w:rFonts w:hint="eastAsia" w:ascii="宋体" w:hAnsi="宋体" w:cs="宋体"/>
          <w:sz w:val="32"/>
          <w:szCs w:val="32"/>
        </w:rPr>
        <w:t>第二章竞争性磋商须知</w:t>
      </w:r>
      <w:r>
        <w:rPr>
          <w:rFonts w:hint="eastAsia" w:ascii="宋体" w:hAnsi="宋体" w:cs="宋体"/>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"_Toc13344" </w:instrText>
      </w:r>
      <w:r>
        <w:fldChar w:fldCharType="separate"/>
      </w:r>
      <w:r>
        <w:rPr>
          <w:rFonts w:hint="eastAsia" w:ascii="Times New Roman" w:hAnsi="Times New Roman"/>
          <w:sz w:val="32"/>
          <w:szCs w:val="32"/>
        </w:rPr>
        <w:t>第三章采购内容及要求</w:t>
      </w:r>
      <w:r>
        <w:rPr>
          <w:rFonts w:hint="eastAsia" w:ascii="Times New Roman" w:hAnsi="Times New Roman"/>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"_Toc29761" </w:instrText>
      </w:r>
      <w:r>
        <w:fldChar w:fldCharType="separate"/>
      </w:r>
      <w:r>
        <w:rPr>
          <w:rFonts w:hint="eastAsia" w:ascii="Times New Roman" w:hAnsi="Times New Roman"/>
          <w:sz w:val="32"/>
          <w:szCs w:val="32"/>
        </w:rPr>
        <w:t>第四章</w:t>
      </w:r>
      <w:r>
        <w:rPr>
          <w:rFonts w:hint="eastAsia" w:ascii="Times New Roman" w:hAnsi="Times New Roman"/>
          <w:bCs/>
          <w:sz w:val="32"/>
          <w:szCs w:val="32"/>
        </w:rPr>
        <w:t>评审办法及评分标准</w:t>
      </w:r>
      <w:r>
        <w:rPr>
          <w:rFonts w:hint="eastAsia" w:ascii="Times New Roman" w:hAnsi="Times New Roman"/>
          <w:bCs/>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"_Toc22820" </w:instrText>
      </w:r>
      <w:r>
        <w:fldChar w:fldCharType="separate"/>
      </w:r>
      <w:r>
        <w:rPr>
          <w:rFonts w:hint="eastAsia" w:ascii="Times New Roman" w:hAnsi="Times New Roman"/>
          <w:sz w:val="32"/>
          <w:szCs w:val="32"/>
        </w:rPr>
        <w:t>第五章合同书（参考格式）</w:t>
      </w:r>
      <w:r>
        <w:rPr>
          <w:rFonts w:hint="eastAsia" w:ascii="Times New Roman" w:hAnsi="Times New Roman"/>
          <w:sz w:val="32"/>
          <w:szCs w:val="32"/>
        </w:rPr>
        <w:fldChar w:fldCharType="end"/>
      </w:r>
    </w:p>
    <w:p>
      <w:pPr>
        <w:pStyle w:val="18"/>
        <w:tabs>
          <w:tab w:val="right" w:leader="dot" w:pos="8306"/>
        </w:tabs>
        <w:spacing w:line="480" w:lineRule="auto"/>
        <w:rPr>
          <w:sz w:val="32"/>
          <w:szCs w:val="32"/>
        </w:rPr>
      </w:pPr>
      <w:r>
        <w:fldChar w:fldCharType="begin"/>
      </w:r>
      <w:r>
        <w:instrText xml:space="preserve"> HYPERLINK \l "_Toc467" </w:instrText>
      </w:r>
      <w:r>
        <w:fldChar w:fldCharType="separate"/>
      </w:r>
      <w:r>
        <w:rPr>
          <w:rFonts w:hint="eastAsia" w:ascii="Times New Roman" w:hAnsi="Times New Roman"/>
          <w:sz w:val="32"/>
          <w:szCs w:val="32"/>
        </w:rPr>
        <w:t>第六章响应文件格式</w:t>
      </w:r>
      <w:r>
        <w:rPr>
          <w:rFonts w:hint="eastAsia" w:ascii="Times New Roman" w:hAnsi="Times New Roman"/>
          <w:sz w:val="32"/>
          <w:szCs w:val="32"/>
        </w:rPr>
        <w:fldChar w:fldCharType="end"/>
      </w:r>
    </w:p>
    <w:p>
      <w:pPr>
        <w:pStyle w:val="18"/>
        <w:tabs>
          <w:tab w:val="right" w:leader="dot" w:pos="8306"/>
        </w:tabs>
        <w:spacing w:line="480" w:lineRule="auto"/>
        <w:jc w:val="left"/>
        <w:outlineLvl w:val="0"/>
        <w:rPr>
          <w:rFonts w:ascii="Times New Roman" w:hAnsi="Times New Roman"/>
          <w:sz w:val="28"/>
          <w:szCs w:val="28"/>
        </w:rPr>
        <w:sectPr>
          <w:footerReference r:id="rId3" w:type="default"/>
          <w:pgSz w:w="11906" w:h="16838"/>
          <w:pgMar w:top="1440" w:right="1800" w:bottom="1440" w:left="1800" w:header="851" w:footer="992" w:gutter="0"/>
          <w:cols w:space="720" w:num="1"/>
          <w:titlePg/>
          <w:docGrid w:type="lines" w:linePitch="312" w:charSpace="0"/>
        </w:sectPr>
      </w:pPr>
      <w:r>
        <w:rPr>
          <w:rFonts w:ascii="Times New Roman" w:hAnsi="Times New Roman"/>
          <w:sz w:val="32"/>
          <w:szCs w:val="32"/>
        </w:rPr>
        <w:fldChar w:fldCharType="end"/>
      </w:r>
    </w:p>
    <w:p>
      <w:pPr>
        <w:spacing w:line="500" w:lineRule="exact"/>
        <w:jc w:val="center"/>
        <w:outlineLvl w:val="0"/>
        <w:rPr>
          <w:rFonts w:ascii="Times New Roman" w:hAnsi="Times New Roman"/>
          <w:bCs/>
          <w:sz w:val="24"/>
        </w:rPr>
      </w:pPr>
      <w:bookmarkStart w:id="1" w:name="_Toc16739"/>
      <w:r>
        <w:rPr>
          <w:rFonts w:hint="eastAsia" w:ascii="Times New Roman" w:hAnsi="Times New Roman"/>
          <w:b/>
          <w:bCs/>
          <w:sz w:val="36"/>
          <w:szCs w:val="36"/>
        </w:rPr>
        <w:t>第一章竞争性磋商</w:t>
      </w:r>
      <w:bookmarkEnd w:id="1"/>
      <w:r>
        <w:rPr>
          <w:rFonts w:hint="eastAsia" w:ascii="Times New Roman" w:hAnsi="Times New Roman"/>
          <w:b/>
          <w:bCs/>
          <w:sz w:val="36"/>
          <w:szCs w:val="36"/>
        </w:rPr>
        <w:t>采购公告</w:t>
      </w:r>
    </w:p>
    <w:p>
      <w:pPr>
        <w:spacing w:line="360" w:lineRule="auto"/>
        <w:ind w:firstLine="420" w:firstLineChars="200"/>
        <w:rPr>
          <w:rFonts w:ascii="宋体" w:hAnsi="宋体"/>
        </w:rPr>
      </w:pPr>
    </w:p>
    <w:p>
      <w:pPr>
        <w:spacing w:line="360" w:lineRule="auto"/>
        <w:ind w:firstLine="420" w:firstLineChars="200"/>
        <w:rPr>
          <w:rFonts w:ascii="宋体" w:hAnsi="宋体" w:cs="宋体"/>
        </w:rPr>
      </w:pPr>
      <w:r>
        <w:rPr>
          <w:rFonts w:hint="eastAsia" w:ascii="宋体" w:hAnsi="宋体" w:cs="方正小标宋简体"/>
          <w:bCs/>
          <w:u w:val="single"/>
        </w:rPr>
        <w:t>黄石金安投资集团有限公司</w:t>
      </w:r>
      <w:r>
        <w:rPr>
          <w:rFonts w:hint="eastAsia" w:ascii="宋体" w:hAnsi="宋体" w:cs="宋体"/>
        </w:rPr>
        <w:t>就</w:t>
      </w:r>
      <w:r>
        <w:rPr>
          <w:rFonts w:hint="eastAsia" w:ascii="宋体" w:hAnsi="宋体" w:cs="方正小标宋简体"/>
          <w:bCs/>
          <w:u w:val="single"/>
          <w:lang w:eastAsia="zh-CN"/>
        </w:rPr>
        <w:t>金安集团机关办公室装饰装修工程</w:t>
      </w:r>
      <w:r>
        <w:rPr>
          <w:rFonts w:hint="eastAsia" w:ascii="宋体" w:hAnsi="宋体" w:cs="宋体"/>
        </w:rPr>
        <w:t>采用竞争性磋商方式进行公开采购，现公告欢迎符合本次采购要求的供应商参加竞争性磋商。</w:t>
      </w:r>
    </w:p>
    <w:p>
      <w:pPr>
        <w:spacing w:line="360" w:lineRule="auto"/>
        <w:rPr>
          <w:rFonts w:ascii="宋体" w:hAnsi="宋体" w:cs="宋体"/>
          <w:b/>
          <w:bCs/>
        </w:rPr>
      </w:pPr>
      <w:r>
        <w:rPr>
          <w:rFonts w:hint="eastAsia" w:ascii="宋体" w:hAnsi="宋体" w:cs="宋体"/>
          <w:b/>
          <w:bCs/>
        </w:rPr>
        <w:t>一、项目概述：</w:t>
      </w:r>
    </w:p>
    <w:p>
      <w:pPr>
        <w:spacing w:line="360" w:lineRule="auto"/>
        <w:rPr>
          <w:rFonts w:hint="eastAsia" w:ascii="宋体" w:hAnsi="宋体" w:eastAsia="宋体" w:cs="宋体"/>
          <w:bCs/>
          <w:lang w:eastAsia="zh-CN"/>
        </w:rPr>
      </w:pPr>
      <w:r>
        <w:rPr>
          <w:rFonts w:hint="eastAsia" w:ascii="宋体" w:hAnsi="宋体" w:cs="宋体"/>
          <w:bCs/>
        </w:rPr>
        <w:t>1.采购项目名称：</w:t>
      </w:r>
      <w:r>
        <w:rPr>
          <w:rFonts w:hint="eastAsia" w:ascii="宋体" w:hAnsi="宋体" w:cs="方正小标宋简体"/>
          <w:bCs/>
          <w:u w:val="single"/>
          <w:lang w:eastAsia="zh-CN"/>
        </w:rPr>
        <w:t>金安集团机关办公室装饰装修工程</w:t>
      </w:r>
    </w:p>
    <w:p>
      <w:pPr>
        <w:spacing w:line="360" w:lineRule="auto"/>
        <w:rPr>
          <w:rFonts w:ascii="宋体" w:hAnsi="宋体" w:cs="宋体"/>
          <w:bCs/>
        </w:rPr>
      </w:pPr>
      <w:r>
        <w:rPr>
          <w:rFonts w:hint="eastAsia" w:ascii="宋体" w:hAnsi="宋体" w:cs="宋体"/>
          <w:bCs/>
        </w:rPr>
        <w:t>2.采购内容：详见第三章；</w:t>
      </w:r>
    </w:p>
    <w:p>
      <w:pPr>
        <w:spacing w:line="360" w:lineRule="auto"/>
        <w:rPr>
          <w:rFonts w:ascii="宋体" w:hAnsi="宋体" w:cs="宋体"/>
          <w:bCs/>
        </w:rPr>
      </w:pPr>
      <w:r>
        <w:rPr>
          <w:rFonts w:hint="eastAsia" w:ascii="宋体" w:hAnsi="宋体" w:cs="宋体"/>
          <w:bCs/>
        </w:rPr>
        <w:t>3.资金性质：企业自有资金；</w:t>
      </w:r>
    </w:p>
    <w:p>
      <w:pPr>
        <w:spacing w:line="360" w:lineRule="auto"/>
        <w:rPr>
          <w:rFonts w:ascii="宋体" w:hAnsi="宋体" w:cs="宋体"/>
          <w:bCs/>
        </w:rPr>
      </w:pPr>
      <w:r>
        <w:rPr>
          <w:rFonts w:hint="eastAsia" w:ascii="宋体" w:hAnsi="宋体" w:cs="宋体"/>
          <w:bCs/>
        </w:rPr>
        <w:t>4.采购金额：</w:t>
      </w:r>
      <w:r>
        <w:rPr>
          <w:rFonts w:hint="eastAsia" w:ascii="宋体" w:hAnsi="宋体"/>
          <w:lang w:val="zh-CN"/>
        </w:rPr>
        <w:t>最高限价为</w:t>
      </w:r>
      <w:r>
        <w:rPr>
          <w:rFonts w:hint="eastAsia" w:ascii="宋体" w:hAnsi="宋体"/>
          <w:b/>
          <w:color w:val="FF0000"/>
          <w:u w:val="single"/>
        </w:rPr>
        <w:t>882675.66</w:t>
      </w:r>
      <w:r>
        <w:rPr>
          <w:rFonts w:hint="eastAsia" w:ascii="宋体" w:hAnsi="宋体" w:cs="宋体"/>
          <w:b/>
          <w:bCs/>
          <w:color w:val="FF0000"/>
        </w:rPr>
        <w:t>元；</w:t>
      </w:r>
    </w:p>
    <w:p>
      <w:pPr>
        <w:spacing w:line="360" w:lineRule="auto"/>
        <w:rPr>
          <w:rFonts w:ascii="宋体" w:hAnsi="宋体" w:cs="宋体"/>
          <w:bCs/>
        </w:rPr>
      </w:pPr>
      <w:r>
        <w:rPr>
          <w:rFonts w:hint="eastAsia" w:ascii="宋体" w:hAnsi="宋体" w:cs="宋体"/>
          <w:bCs/>
        </w:rPr>
        <w:t>5.质量要求：符合国家现行验收及评定标准、规范。</w:t>
      </w:r>
    </w:p>
    <w:p>
      <w:pPr>
        <w:spacing w:line="360" w:lineRule="auto"/>
        <w:rPr>
          <w:rFonts w:ascii="宋体" w:hAnsi="宋体" w:cs="宋体"/>
          <w:bCs/>
        </w:rPr>
      </w:pPr>
      <w:r>
        <w:rPr>
          <w:rFonts w:hint="eastAsia" w:ascii="宋体" w:hAnsi="宋体" w:cs="宋体"/>
          <w:bCs/>
        </w:rPr>
        <w:t>6.质保期：两年</w:t>
      </w:r>
    </w:p>
    <w:p>
      <w:pPr>
        <w:spacing w:line="360" w:lineRule="auto"/>
        <w:rPr>
          <w:rFonts w:ascii="宋体" w:hAnsi="宋体" w:cs="宋体"/>
          <w:b/>
          <w:sz w:val="24"/>
          <w:szCs w:val="24"/>
        </w:rPr>
      </w:pPr>
      <w:r>
        <w:rPr>
          <w:rFonts w:hint="eastAsia" w:ascii="宋体" w:hAnsi="宋体" w:cs="宋体"/>
          <w:b/>
        </w:rPr>
        <w:t>二、供应商的条件及资格要求：</w:t>
      </w:r>
    </w:p>
    <w:p>
      <w:pPr>
        <w:pStyle w:val="70"/>
        <w:spacing w:before="0" w:beforeAutospacing="0" w:after="0" w:afterAutospacing="0" w:line="360" w:lineRule="auto"/>
        <w:ind w:firstLine="482"/>
        <w:jc w:val="both"/>
        <w:rPr>
          <w:sz w:val="21"/>
          <w:szCs w:val="21"/>
        </w:rPr>
      </w:pPr>
      <w:r>
        <w:rPr>
          <w:rFonts w:hint="eastAsia"/>
          <w:color w:val="000000"/>
          <w:sz w:val="21"/>
          <w:szCs w:val="21"/>
        </w:rPr>
        <w:t>（一）</w:t>
      </w:r>
      <w:r>
        <w:rPr>
          <w:rFonts w:hint="eastAsia"/>
          <w:sz w:val="21"/>
          <w:szCs w:val="21"/>
        </w:rPr>
        <w:t xml:space="preserve"> 应具备《政府采购法》第二十二条规定的条件； </w:t>
      </w:r>
    </w:p>
    <w:p>
      <w:pPr>
        <w:pStyle w:val="70"/>
        <w:spacing w:before="0" w:beforeAutospacing="0" w:after="0" w:afterAutospacing="0" w:line="360" w:lineRule="auto"/>
        <w:ind w:firstLine="482"/>
        <w:jc w:val="both"/>
        <w:rPr>
          <w:sz w:val="21"/>
          <w:szCs w:val="21"/>
        </w:rPr>
      </w:pPr>
      <w:r>
        <w:rPr>
          <w:rFonts w:hint="eastAsia"/>
          <w:sz w:val="21"/>
          <w:szCs w:val="21"/>
        </w:rPr>
        <w:t xml:space="preserve">1、具有良好的商业信誉和健全的财务会计制度(提供2019年和2020年财务审计报告)； </w:t>
      </w:r>
    </w:p>
    <w:p>
      <w:pPr>
        <w:pStyle w:val="70"/>
        <w:spacing w:before="0" w:beforeAutospacing="0" w:after="0" w:afterAutospacing="0" w:line="360" w:lineRule="auto"/>
        <w:ind w:firstLine="482"/>
        <w:jc w:val="both"/>
        <w:rPr>
          <w:sz w:val="21"/>
          <w:szCs w:val="21"/>
        </w:rPr>
      </w:pPr>
      <w:r>
        <w:rPr>
          <w:rFonts w:hint="eastAsia"/>
          <w:sz w:val="21"/>
          <w:szCs w:val="21"/>
        </w:rPr>
        <w:t xml:space="preserve">2、有依法缴纳税收和社会保障资金的良好记录(提供近6个月的缴纳税收及社保的证明材料)； </w:t>
      </w:r>
    </w:p>
    <w:p>
      <w:pPr>
        <w:pStyle w:val="70"/>
        <w:spacing w:before="0" w:beforeAutospacing="0" w:after="0" w:afterAutospacing="0" w:line="360" w:lineRule="auto"/>
        <w:ind w:firstLine="482"/>
        <w:jc w:val="both"/>
        <w:rPr>
          <w:sz w:val="21"/>
          <w:szCs w:val="21"/>
        </w:rPr>
      </w:pPr>
      <w:r>
        <w:rPr>
          <w:rFonts w:hint="eastAsia"/>
          <w:sz w:val="21"/>
          <w:szCs w:val="21"/>
        </w:rPr>
        <w:t>（二）须具有有效期内的营业执照。</w:t>
      </w:r>
    </w:p>
    <w:p>
      <w:pPr>
        <w:pStyle w:val="70"/>
        <w:spacing w:before="0" w:beforeAutospacing="0" w:after="0" w:afterAutospacing="0" w:line="360" w:lineRule="auto"/>
        <w:ind w:firstLine="482"/>
        <w:jc w:val="both"/>
        <w:rPr>
          <w:sz w:val="21"/>
          <w:szCs w:val="21"/>
        </w:rPr>
      </w:pPr>
      <w:r>
        <w:rPr>
          <w:rFonts w:hint="eastAsia"/>
          <w:sz w:val="21"/>
          <w:szCs w:val="21"/>
        </w:rPr>
        <w:t>（三）法定代表人或拟派项目经理须按时参加磋商，同时提供相关身份证明文件和身份证原件。</w:t>
      </w:r>
    </w:p>
    <w:p>
      <w:pPr>
        <w:autoSpaceDE w:val="0"/>
        <w:autoSpaceDN w:val="0"/>
        <w:adjustRightInd w:val="0"/>
        <w:spacing w:line="360" w:lineRule="auto"/>
        <w:ind w:firstLine="482"/>
      </w:pPr>
      <w:r>
        <w:rPr>
          <w:rFonts w:hint="eastAsia"/>
        </w:rPr>
        <w:t>（四）供应商必须具备</w:t>
      </w:r>
      <w:r>
        <w:rPr>
          <w:rFonts w:hint="eastAsia"/>
          <w:lang w:eastAsia="zh-CN"/>
        </w:rPr>
        <w:t>建筑装修装饰工程专业承包贰级</w:t>
      </w:r>
      <w:r>
        <w:rPr>
          <w:rFonts w:hint="eastAsia"/>
        </w:rPr>
        <w:t>及以上资质，具备有效的安全生产许可证；</w:t>
      </w:r>
    </w:p>
    <w:p>
      <w:pPr>
        <w:pStyle w:val="70"/>
        <w:spacing w:before="0" w:beforeAutospacing="0" w:after="0" w:afterAutospacing="0" w:line="360" w:lineRule="auto"/>
        <w:ind w:firstLine="482"/>
        <w:jc w:val="both"/>
        <w:rPr>
          <w:sz w:val="21"/>
          <w:szCs w:val="21"/>
        </w:rPr>
      </w:pPr>
      <w:r>
        <w:rPr>
          <w:rFonts w:hint="eastAsia"/>
          <w:sz w:val="21"/>
          <w:szCs w:val="21"/>
        </w:rPr>
        <w:t xml:space="preserve">（五）项目经理必须具备建筑工程贰级及以上注册建造师，且具备有效的安全生产考核合格证书（B 证），项目技术负责人必须具备相关专业中级及以上职称，项目其他成员必须提供相关职业证明材料，同时提供以上人员社保缴费证明（需同时提供以上人员近6个月社保证明）；如查询发现投标人弄虚作假，则取消其投标资格，其单位将纳入湖北省招标投标信用信息平台不良行为名单；提供项目经理和技术负责人且未担任其他在建工程的承诺函； </w:t>
      </w:r>
    </w:p>
    <w:p>
      <w:pPr>
        <w:tabs>
          <w:tab w:val="left" w:pos="840"/>
        </w:tabs>
        <w:spacing w:line="360" w:lineRule="auto"/>
        <w:ind w:firstLine="420" w:firstLineChars="200"/>
        <w:rPr>
          <w:rFonts w:ascii="宋体" w:hAnsi="宋体" w:cs="宋体"/>
          <w:color w:val="000000"/>
        </w:rPr>
      </w:pPr>
      <w:r>
        <w:rPr>
          <w:rFonts w:hint="eastAsia" w:ascii="宋体" w:hAnsi="宋体" w:cs="宋体"/>
          <w:color w:val="000000"/>
        </w:rPr>
        <w:t>（六）参加政府采购活动近三年内，在经营活动中没有重大违纪记录、信誉良好</w:t>
      </w:r>
      <w:r>
        <w:rPr>
          <w:rFonts w:ascii="宋体" w:hAnsi="宋体" w:cs="宋体"/>
          <w:color w:val="000000"/>
        </w:rPr>
        <w:t>；</w:t>
      </w:r>
    </w:p>
    <w:p>
      <w:pPr>
        <w:tabs>
          <w:tab w:val="left" w:pos="840"/>
        </w:tabs>
        <w:spacing w:line="360" w:lineRule="auto"/>
        <w:ind w:firstLine="371" w:firstLineChars="177"/>
        <w:rPr>
          <w:rFonts w:ascii="宋体" w:hAnsi="宋体" w:cs="宋体"/>
          <w:color w:val="000000"/>
        </w:rPr>
      </w:pPr>
      <w:r>
        <w:rPr>
          <w:rFonts w:hint="eastAsia" w:ascii="宋体" w:hAnsi="宋体" w:cs="宋体"/>
          <w:color w:val="000000"/>
        </w:rPr>
        <w:t>（七）供应商近三年内未被列入“信用中国”网站(www.creditchina.gov.cn)失信被执行人、在最近三年内没有骗取中标或严重违约或重大工程质量问题。供应商及其法定代表人和拟派的项目经理近三年没有行贿犯罪记录。政府采购严重违法失信被执行人。重大税收违法案件当事人、政府采购严重违法失信行为记录名单和行为重大税收违法案件当事人、政府采购严重违法失信行为记录名单和“中国政府采购”网站（www.ccgp.gov.cn）政府采购采购严重违法失信行为记录名单（查询时间在发布本公告之后），并将查询结果“截图”加盖公章或磋商当天在网站查询结果为准；</w:t>
      </w:r>
    </w:p>
    <w:p>
      <w:pPr>
        <w:tabs>
          <w:tab w:val="left" w:pos="840"/>
        </w:tabs>
        <w:spacing w:line="360" w:lineRule="auto"/>
        <w:ind w:firstLine="371" w:firstLineChars="177"/>
        <w:rPr>
          <w:rFonts w:ascii="宋体" w:hAnsi="宋体" w:cs="宋体"/>
          <w:color w:val="000000"/>
        </w:rPr>
      </w:pPr>
      <w:r>
        <w:rPr>
          <w:rFonts w:hint="eastAsia" w:ascii="宋体" w:hAnsi="宋体" w:cs="宋体"/>
          <w:color w:val="000000"/>
        </w:rPr>
        <w:t>（八）本次采购不接受联合体形式的供应商。</w:t>
      </w:r>
    </w:p>
    <w:p>
      <w:pPr>
        <w:tabs>
          <w:tab w:val="left" w:pos="1560"/>
          <w:tab w:val="left" w:pos="1620"/>
        </w:tabs>
        <w:adjustRightInd w:val="0"/>
        <w:snapToGrid w:val="0"/>
        <w:spacing w:line="360" w:lineRule="auto"/>
        <w:rPr>
          <w:rFonts w:ascii="宋体" w:hAnsi="宋体" w:cs="宋体"/>
        </w:rPr>
      </w:pPr>
      <w:r>
        <w:rPr>
          <w:rFonts w:hint="eastAsia" w:ascii="宋体" w:hAnsi="宋体" w:cs="宋体"/>
          <w:b/>
        </w:rPr>
        <w:t>三、采购需求：</w:t>
      </w:r>
      <w:r>
        <w:rPr>
          <w:rFonts w:hint="eastAsia" w:ascii="宋体" w:hAnsi="宋体" w:cs="宋体"/>
        </w:rPr>
        <w:t>详见竞争性磋商文件</w:t>
      </w:r>
    </w:p>
    <w:p>
      <w:pPr>
        <w:tabs>
          <w:tab w:val="left" w:pos="1560"/>
          <w:tab w:val="left" w:pos="1620"/>
        </w:tabs>
        <w:adjustRightInd w:val="0"/>
        <w:snapToGrid w:val="0"/>
        <w:spacing w:line="360" w:lineRule="auto"/>
        <w:rPr>
          <w:rFonts w:ascii="宋体" w:hAnsi="宋体" w:cs="宋体"/>
          <w:b/>
        </w:rPr>
      </w:pPr>
      <w:r>
        <w:rPr>
          <w:rFonts w:hint="eastAsia" w:ascii="宋体" w:hAnsi="宋体" w:cs="宋体"/>
          <w:b/>
        </w:rPr>
        <w:t>四、竞争性磋商文件的获取时间、方式及有关说明：</w:t>
      </w:r>
    </w:p>
    <w:p>
      <w:pPr>
        <w:tabs>
          <w:tab w:val="left" w:pos="840"/>
        </w:tabs>
        <w:spacing w:line="360" w:lineRule="auto"/>
        <w:rPr>
          <w:rFonts w:ascii="宋体" w:hAnsi="宋体"/>
          <w:color w:val="000000"/>
        </w:rPr>
      </w:pPr>
      <w:r>
        <w:rPr>
          <w:rFonts w:hint="eastAsia" w:ascii="宋体" w:hAnsi="宋体"/>
          <w:color w:val="000000"/>
        </w:rPr>
        <w:t>时间：</w:t>
      </w:r>
      <w:r>
        <w:rPr>
          <w:rFonts w:hint="eastAsia" w:ascii="宋体" w:hAnsi="宋体"/>
          <w:b/>
          <w:color w:val="FF0000"/>
          <w:highlight w:val="none"/>
        </w:rPr>
        <w:t>2021年11月</w:t>
      </w:r>
      <w:r>
        <w:rPr>
          <w:rFonts w:hint="eastAsia" w:ascii="宋体" w:hAnsi="宋体"/>
          <w:b/>
          <w:color w:val="FF0000"/>
          <w:highlight w:val="none"/>
          <w:lang w:val="en-US" w:eastAsia="zh-CN"/>
        </w:rPr>
        <w:t>10</w:t>
      </w:r>
      <w:r>
        <w:rPr>
          <w:rFonts w:hint="eastAsia" w:ascii="宋体" w:hAnsi="宋体"/>
          <w:b/>
          <w:color w:val="FF0000"/>
          <w:highlight w:val="none"/>
        </w:rPr>
        <w:t>日至2021年11月1</w:t>
      </w:r>
      <w:r>
        <w:rPr>
          <w:rFonts w:hint="eastAsia" w:ascii="宋体" w:hAnsi="宋体"/>
          <w:b/>
          <w:color w:val="FF0000"/>
          <w:highlight w:val="none"/>
          <w:lang w:val="en-US" w:eastAsia="zh-CN"/>
        </w:rPr>
        <w:t>8</w:t>
      </w:r>
      <w:r>
        <w:rPr>
          <w:rFonts w:hint="eastAsia" w:ascii="宋体" w:hAnsi="宋体"/>
          <w:b/>
          <w:color w:val="FF0000"/>
          <w:highlight w:val="none"/>
        </w:rPr>
        <w:t>日</w:t>
      </w:r>
      <w:r>
        <w:rPr>
          <w:rFonts w:hint="eastAsia" w:ascii="宋体" w:hAnsi="宋体"/>
          <w:color w:val="000000"/>
          <w:highlight w:val="none"/>
        </w:rPr>
        <w:t>（</w:t>
      </w:r>
      <w:r>
        <w:rPr>
          <w:rFonts w:hint="eastAsia" w:ascii="宋体" w:hAnsi="宋体"/>
          <w:color w:val="000000"/>
        </w:rPr>
        <w:t>北京时间）</w:t>
      </w:r>
    </w:p>
    <w:p>
      <w:pPr>
        <w:tabs>
          <w:tab w:val="left" w:pos="840"/>
        </w:tabs>
        <w:spacing w:line="360" w:lineRule="auto"/>
        <w:rPr>
          <w:rFonts w:ascii="宋体" w:hAnsi="宋体"/>
          <w:color w:val="000000"/>
        </w:rPr>
      </w:pPr>
      <w:r>
        <w:rPr>
          <w:rFonts w:hint="eastAsia" w:ascii="宋体" w:hAnsi="宋体"/>
          <w:color w:val="000000"/>
        </w:rPr>
        <w:t>地点：</w:t>
      </w:r>
      <w:r>
        <w:rPr>
          <w:rFonts w:hint="eastAsia" w:ascii="宋体" w:hAnsi="宋体"/>
        </w:rPr>
        <w:t>黄石市国有资产经营有限公司官网</w:t>
      </w:r>
    </w:p>
    <w:p>
      <w:pPr>
        <w:tabs>
          <w:tab w:val="left" w:pos="840"/>
        </w:tabs>
        <w:spacing w:line="360" w:lineRule="auto"/>
        <w:rPr>
          <w:rFonts w:ascii="宋体" w:hAnsi="宋体"/>
          <w:color w:val="000000"/>
        </w:rPr>
      </w:pPr>
      <w:r>
        <w:rPr>
          <w:rFonts w:hint="eastAsia" w:ascii="宋体" w:hAnsi="宋体"/>
          <w:color w:val="000000"/>
        </w:rPr>
        <w:t>方式：凡有意参加投标者，应当通过互联网登录“</w:t>
      </w:r>
      <w:r>
        <w:rPr>
          <w:rFonts w:hint="eastAsia" w:ascii="宋体" w:hAnsi="宋体"/>
        </w:rPr>
        <w:t>黄石市国有资产经营有限公司官网（http://www.hsgzgs.com/gkxx/zbgk2/zbgg9/）</w:t>
      </w:r>
      <w:r>
        <w:rPr>
          <w:rFonts w:hint="eastAsia" w:ascii="宋体" w:hAnsi="宋体"/>
          <w:color w:val="000000"/>
        </w:rPr>
        <w:t>”下载。</w:t>
      </w:r>
    </w:p>
    <w:p>
      <w:pPr>
        <w:tabs>
          <w:tab w:val="left" w:pos="840"/>
        </w:tabs>
        <w:spacing w:line="360" w:lineRule="auto"/>
        <w:rPr>
          <w:rFonts w:ascii="宋体" w:hAnsi="宋体"/>
          <w:b/>
          <w:color w:val="000000"/>
        </w:rPr>
      </w:pPr>
      <w:r>
        <w:rPr>
          <w:rFonts w:hint="eastAsia" w:ascii="宋体" w:hAnsi="宋体"/>
          <w:b/>
          <w:color w:val="000000"/>
        </w:rPr>
        <w:t>五、</w:t>
      </w:r>
      <w:r>
        <w:rPr>
          <w:rFonts w:hint="eastAsia" w:ascii="宋体" w:hAnsi="宋体" w:cs="宋体"/>
          <w:b/>
        </w:rPr>
        <w:t>质疑</w:t>
      </w:r>
    </w:p>
    <w:p>
      <w:pPr>
        <w:widowControl/>
        <w:spacing w:line="360" w:lineRule="auto"/>
        <w:ind w:firstLine="480"/>
        <w:rPr>
          <w:rFonts w:ascii="宋体" w:hAnsi="宋体" w:cs="宋体"/>
        </w:rPr>
      </w:pPr>
      <w:r>
        <w:rPr>
          <w:rFonts w:hint="eastAsia" w:ascii="宋体" w:hAnsi="宋体" w:cs="宋体"/>
        </w:rPr>
        <w:t>1、供应商认为招标文件违反相关规定的，必须在</w:t>
      </w:r>
      <w:r>
        <w:rPr>
          <w:rFonts w:hint="eastAsia" w:ascii="宋体" w:hAnsi="宋体"/>
        </w:rPr>
        <w:t>2021年11月</w:t>
      </w:r>
      <w:r>
        <w:rPr>
          <w:rFonts w:hint="eastAsia" w:ascii="宋体" w:hAnsi="宋体"/>
          <w:highlight w:val="none"/>
        </w:rPr>
        <w:t>1</w:t>
      </w:r>
      <w:r>
        <w:rPr>
          <w:rFonts w:hint="eastAsia" w:ascii="宋体" w:hAnsi="宋体"/>
          <w:highlight w:val="none"/>
          <w:lang w:val="en-US" w:eastAsia="zh-CN"/>
        </w:rPr>
        <w:t>6</w:t>
      </w:r>
      <w:bookmarkStart w:id="28" w:name="_GoBack"/>
      <w:bookmarkEnd w:id="28"/>
      <w:r>
        <w:rPr>
          <w:rFonts w:hint="eastAsia" w:ascii="宋体" w:hAnsi="宋体"/>
          <w:highlight w:val="none"/>
        </w:rPr>
        <w:t>日</w:t>
      </w:r>
      <w:r>
        <w:rPr>
          <w:rFonts w:hint="eastAsia" w:ascii="宋体" w:hAnsi="宋体"/>
          <w:highlight w:val="none"/>
          <w:lang w:val="en-US" w:eastAsia="zh-CN"/>
        </w:rPr>
        <w:t>16</w:t>
      </w:r>
      <w:r>
        <w:rPr>
          <w:rFonts w:hint="eastAsia" w:ascii="宋体" w:hAnsi="宋体"/>
          <w:lang w:val="en-US" w:eastAsia="zh-CN"/>
        </w:rPr>
        <w:t>:00</w:t>
      </w:r>
      <w:r>
        <w:rPr>
          <w:rFonts w:hint="eastAsia" w:ascii="宋体" w:hAnsi="宋体"/>
        </w:rPr>
        <w:t>前</w:t>
      </w:r>
      <w:r>
        <w:rPr>
          <w:rFonts w:hint="eastAsia" w:ascii="宋体" w:hAnsi="宋体" w:cs="宋体"/>
        </w:rPr>
        <w:t>，以书面形式向采购人提出质疑。</w:t>
      </w:r>
    </w:p>
    <w:p>
      <w:pPr>
        <w:widowControl/>
        <w:spacing w:line="360" w:lineRule="auto"/>
        <w:ind w:firstLine="480"/>
        <w:rPr>
          <w:rFonts w:ascii="宋体" w:hAnsi="宋体" w:cs="宋体"/>
        </w:rPr>
      </w:pPr>
      <w:r>
        <w:rPr>
          <w:rFonts w:hint="eastAsia" w:ascii="宋体" w:hAnsi="宋体" w:cs="宋体"/>
        </w:rPr>
        <w:t>2、供应商提出质疑应当在规定的时间内提交质疑函和必要的证明材料，并由法定代表人（或负责人）签字和盖章，否则采购人有权不予受理。</w:t>
      </w:r>
    </w:p>
    <w:p>
      <w:pPr>
        <w:tabs>
          <w:tab w:val="left" w:pos="1560"/>
          <w:tab w:val="left" w:pos="1620"/>
        </w:tabs>
        <w:adjustRightInd w:val="0"/>
        <w:snapToGrid w:val="0"/>
        <w:spacing w:line="360" w:lineRule="auto"/>
        <w:rPr>
          <w:rFonts w:ascii="宋体" w:hAnsi="宋体" w:cs="宋体"/>
          <w:b/>
        </w:rPr>
      </w:pPr>
      <w:r>
        <w:rPr>
          <w:rFonts w:hint="eastAsia" w:ascii="宋体" w:hAnsi="宋体" w:cs="宋体"/>
          <w:b/>
        </w:rPr>
        <w:t>六、竞争性磋商响应文件递交截止时间及地点</w:t>
      </w:r>
    </w:p>
    <w:p>
      <w:pPr>
        <w:tabs>
          <w:tab w:val="left" w:pos="1560"/>
          <w:tab w:val="left" w:pos="1620"/>
        </w:tabs>
        <w:adjustRightInd w:val="0"/>
        <w:snapToGrid w:val="0"/>
        <w:spacing w:line="360" w:lineRule="auto"/>
        <w:ind w:firstLine="420" w:firstLineChars="200"/>
        <w:rPr>
          <w:rFonts w:ascii="宋体" w:hAnsi="宋体" w:cs="宋体"/>
        </w:rPr>
      </w:pPr>
      <w:r>
        <w:rPr>
          <w:rFonts w:hint="eastAsia" w:ascii="宋体" w:hAnsi="宋体" w:cs="宋体"/>
        </w:rPr>
        <w:t>1.竞争性磋商响应文件送达截止时间：</w:t>
      </w:r>
      <w:r>
        <w:rPr>
          <w:rFonts w:hint="eastAsia" w:ascii="宋体" w:hAnsi="宋体" w:cs="宋体"/>
          <w:b/>
          <w:color w:val="FF0000"/>
          <w:highlight w:val="none"/>
        </w:rPr>
        <w:t>2021年11月1</w:t>
      </w:r>
      <w:r>
        <w:rPr>
          <w:rFonts w:hint="eastAsia" w:ascii="宋体" w:hAnsi="宋体" w:cs="宋体"/>
          <w:b/>
          <w:color w:val="FF0000"/>
          <w:highlight w:val="none"/>
          <w:lang w:val="en-US" w:eastAsia="zh-CN"/>
        </w:rPr>
        <w:t>9</w:t>
      </w:r>
      <w:r>
        <w:rPr>
          <w:rFonts w:hint="eastAsia" w:ascii="宋体" w:hAnsi="宋体" w:cs="宋体"/>
          <w:b/>
          <w:color w:val="FF0000"/>
          <w:highlight w:val="none"/>
        </w:rPr>
        <w:t>日</w:t>
      </w:r>
      <w:r>
        <w:rPr>
          <w:rFonts w:hint="eastAsia" w:ascii="宋体" w:hAnsi="宋体" w:cs="宋体"/>
          <w:b/>
          <w:color w:val="FF0000"/>
          <w:highlight w:val="none"/>
          <w:lang w:val="en-US" w:eastAsia="zh-CN"/>
        </w:rPr>
        <w:t>14</w:t>
      </w:r>
      <w:r>
        <w:rPr>
          <w:rFonts w:hint="eastAsia" w:ascii="宋体" w:hAnsi="宋体" w:cs="宋体"/>
          <w:b/>
          <w:color w:val="FF0000"/>
          <w:highlight w:val="none"/>
        </w:rPr>
        <w:t>:30时前</w:t>
      </w:r>
      <w:r>
        <w:rPr>
          <w:rFonts w:hint="eastAsia" w:ascii="宋体" w:hAnsi="宋体" w:cs="宋体"/>
          <w:highlight w:val="none"/>
        </w:rPr>
        <w:t>（注：</w:t>
      </w:r>
      <w:r>
        <w:rPr>
          <w:rFonts w:hint="eastAsia" w:ascii="宋体" w:hAnsi="宋体" w:cs="宋体"/>
          <w:highlight w:val="none"/>
          <w:lang w:val="en-US" w:eastAsia="zh-CN"/>
        </w:rPr>
        <w:t>14</w:t>
      </w:r>
      <w:r>
        <w:rPr>
          <w:rFonts w:hint="eastAsia" w:ascii="宋体" w:hAnsi="宋体" w:cs="宋体"/>
          <w:highlight w:val="none"/>
        </w:rPr>
        <w:t>:00时开</w:t>
      </w:r>
      <w:r>
        <w:rPr>
          <w:rFonts w:hint="eastAsia" w:ascii="宋体" w:hAnsi="宋体" w:cs="宋体"/>
        </w:rPr>
        <w:t>始受理竞争性磋商响应文件）送至</w:t>
      </w:r>
      <w:r>
        <w:rPr>
          <w:rFonts w:hint="eastAsia" w:ascii="宋体" w:hAnsi="宋体"/>
        </w:rPr>
        <w:t>黄石金安投资集团有限公司（地址：黄石市下陆区发展大道333号）四楼会议室</w:t>
      </w:r>
      <w:r>
        <w:rPr>
          <w:rFonts w:hint="eastAsia" w:ascii="宋体" w:hAnsi="宋体" w:cs="宋体"/>
        </w:rPr>
        <w:t>，逾时送达的竞争性磋商响应文件恕不接受。</w:t>
      </w:r>
    </w:p>
    <w:p>
      <w:pPr>
        <w:tabs>
          <w:tab w:val="left" w:pos="1560"/>
          <w:tab w:val="left" w:pos="1620"/>
        </w:tabs>
        <w:adjustRightInd w:val="0"/>
        <w:snapToGrid w:val="0"/>
        <w:spacing w:line="360" w:lineRule="auto"/>
        <w:ind w:firstLine="420" w:firstLineChars="200"/>
        <w:rPr>
          <w:rFonts w:ascii="宋体" w:hAnsi="宋体" w:cs="宋体"/>
          <w:highlight w:val="none"/>
        </w:rPr>
      </w:pPr>
      <w:r>
        <w:rPr>
          <w:rFonts w:hint="eastAsia" w:ascii="宋体" w:hAnsi="宋体" w:cs="宋体"/>
        </w:rPr>
        <w:t>2.竞争性磋商时间：</w:t>
      </w:r>
      <w:r>
        <w:rPr>
          <w:rFonts w:hint="eastAsia" w:ascii="宋体" w:hAnsi="宋体" w:cs="宋体"/>
          <w:b/>
          <w:color w:val="FF0000"/>
          <w:highlight w:val="none"/>
        </w:rPr>
        <w:t>2021年11月1</w:t>
      </w:r>
      <w:r>
        <w:rPr>
          <w:rFonts w:hint="eastAsia" w:ascii="宋体" w:hAnsi="宋体" w:cs="宋体"/>
          <w:b/>
          <w:color w:val="FF0000"/>
          <w:highlight w:val="none"/>
          <w:lang w:val="en-US" w:eastAsia="zh-CN"/>
        </w:rPr>
        <w:t>9</w:t>
      </w:r>
      <w:r>
        <w:rPr>
          <w:rFonts w:hint="eastAsia" w:ascii="宋体" w:hAnsi="宋体" w:cs="宋体"/>
          <w:b/>
          <w:color w:val="FF0000"/>
          <w:highlight w:val="none"/>
        </w:rPr>
        <w:t>日</w:t>
      </w:r>
      <w:r>
        <w:rPr>
          <w:rFonts w:hint="eastAsia" w:ascii="宋体" w:hAnsi="宋体" w:cs="宋体"/>
          <w:b/>
          <w:color w:val="FF0000"/>
          <w:highlight w:val="none"/>
          <w:lang w:val="en-US" w:eastAsia="zh-CN"/>
        </w:rPr>
        <w:t>14</w:t>
      </w:r>
      <w:r>
        <w:rPr>
          <w:rFonts w:hint="eastAsia" w:ascii="宋体" w:hAnsi="宋体" w:cs="宋体"/>
          <w:b/>
          <w:color w:val="FF0000"/>
          <w:highlight w:val="none"/>
        </w:rPr>
        <w:t>：30时整</w:t>
      </w:r>
    </w:p>
    <w:p>
      <w:pPr>
        <w:tabs>
          <w:tab w:val="left" w:pos="1560"/>
          <w:tab w:val="left" w:pos="1620"/>
        </w:tabs>
        <w:adjustRightInd w:val="0"/>
        <w:snapToGrid w:val="0"/>
        <w:spacing w:line="360" w:lineRule="auto"/>
        <w:ind w:firstLine="420" w:firstLineChars="200"/>
        <w:rPr>
          <w:rFonts w:ascii="宋体" w:hAnsi="宋体" w:cs="宋体"/>
        </w:rPr>
      </w:pPr>
      <w:r>
        <w:rPr>
          <w:rFonts w:hint="eastAsia" w:ascii="宋体" w:hAnsi="宋体" w:cs="宋体"/>
        </w:rPr>
        <w:t>3.竞争性磋商地点：</w:t>
      </w:r>
      <w:r>
        <w:rPr>
          <w:rFonts w:hint="eastAsia" w:ascii="宋体" w:hAnsi="宋体"/>
        </w:rPr>
        <w:t>黄石金安投资集团有限公司（地址：黄石市下陆区发展大道333号）四楼会议室</w:t>
      </w:r>
    </w:p>
    <w:p>
      <w:pPr>
        <w:tabs>
          <w:tab w:val="left" w:pos="1560"/>
          <w:tab w:val="left" w:pos="1620"/>
        </w:tabs>
        <w:adjustRightInd w:val="0"/>
        <w:snapToGrid w:val="0"/>
        <w:spacing w:line="360" w:lineRule="auto"/>
        <w:rPr>
          <w:rFonts w:ascii="宋体" w:hAnsi="宋体" w:cs="宋体"/>
          <w:b/>
          <w:bCs/>
        </w:rPr>
      </w:pPr>
      <w:r>
        <w:rPr>
          <w:rFonts w:hint="eastAsia" w:ascii="宋体" w:hAnsi="宋体" w:cs="宋体"/>
          <w:b/>
          <w:bCs/>
        </w:rPr>
        <w:t>七、其他补充事宜</w:t>
      </w:r>
    </w:p>
    <w:p>
      <w:pPr>
        <w:tabs>
          <w:tab w:val="left" w:pos="1560"/>
          <w:tab w:val="left" w:pos="1620"/>
        </w:tabs>
        <w:adjustRightInd w:val="0"/>
        <w:snapToGrid w:val="0"/>
        <w:spacing w:line="360" w:lineRule="auto"/>
        <w:ind w:firstLine="435"/>
        <w:rPr>
          <w:rFonts w:ascii="宋体" w:hAnsi="宋体" w:cs="宋体"/>
          <w:bCs/>
        </w:rPr>
      </w:pPr>
      <w:r>
        <w:rPr>
          <w:rFonts w:hint="eastAsia" w:ascii="宋体" w:hAnsi="宋体" w:cs="宋体"/>
          <w:bCs/>
        </w:rPr>
        <w:t>1、若采购时间、地点以及采购项目其它相关内容发生变更，采购人将在</w:t>
      </w:r>
      <w:r>
        <w:rPr>
          <w:rFonts w:hint="eastAsia" w:ascii="宋体" w:hAnsi="宋体"/>
        </w:rPr>
        <w:t>黄石市国有资产经营有限公司官网</w:t>
      </w:r>
      <w:r>
        <w:rPr>
          <w:rFonts w:hint="eastAsia" w:ascii="宋体" w:hAnsi="宋体" w:cs="宋体"/>
          <w:bCs/>
        </w:rPr>
        <w:t>上发布变更公告，请各供应商随时关注相关信息。</w:t>
      </w:r>
    </w:p>
    <w:p>
      <w:pPr>
        <w:tabs>
          <w:tab w:val="left" w:pos="1560"/>
          <w:tab w:val="left" w:pos="1620"/>
        </w:tabs>
        <w:adjustRightInd w:val="0"/>
        <w:snapToGrid w:val="0"/>
        <w:spacing w:line="360" w:lineRule="auto"/>
        <w:ind w:firstLine="435"/>
        <w:rPr>
          <w:rFonts w:ascii="宋体" w:hAnsi="宋体" w:cs="宋体"/>
        </w:rPr>
      </w:pPr>
      <w:r>
        <w:rPr>
          <w:rFonts w:hint="eastAsia" w:ascii="宋体" w:hAnsi="宋体" w:cs="宋体"/>
          <w:bCs/>
        </w:rPr>
        <w:t>2、逾期送达的或者未送达指定地点的，或者未按照招标文件要求密封或者加写标记的响应文件，采购人将拒收。</w:t>
      </w:r>
    </w:p>
    <w:p>
      <w:pPr>
        <w:spacing w:line="360" w:lineRule="auto"/>
        <w:rPr>
          <w:rFonts w:ascii="宋体" w:hAnsi="宋体" w:cs="宋体"/>
          <w:b/>
        </w:rPr>
      </w:pPr>
      <w:r>
        <w:rPr>
          <w:rFonts w:hint="eastAsia" w:ascii="宋体" w:hAnsi="宋体" w:cs="宋体"/>
          <w:b/>
        </w:rPr>
        <w:t>八、联系方式：</w:t>
      </w:r>
    </w:p>
    <w:p>
      <w:pPr>
        <w:spacing w:line="360" w:lineRule="auto"/>
        <w:ind w:firstLine="525" w:firstLineChars="250"/>
        <w:rPr>
          <w:rFonts w:ascii="宋体" w:hAnsi="宋体" w:cs="宋体"/>
        </w:rPr>
      </w:pPr>
      <w:r>
        <w:rPr>
          <w:rFonts w:hint="eastAsia" w:ascii="宋体" w:hAnsi="宋体" w:cs="宋体"/>
        </w:rPr>
        <w:t>采 购 人：</w:t>
      </w:r>
      <w:r>
        <w:rPr>
          <w:rFonts w:hint="eastAsia" w:ascii="宋体" w:hAnsi="宋体" w:cs="方正小标宋简体"/>
          <w:bCs/>
          <w:u w:val="single"/>
        </w:rPr>
        <w:t>黄石金安投资集团有限公司</w:t>
      </w:r>
    </w:p>
    <w:p>
      <w:pPr>
        <w:widowControl/>
        <w:spacing w:line="360" w:lineRule="auto"/>
        <w:ind w:firstLine="525" w:firstLineChars="250"/>
        <w:rPr>
          <w:rFonts w:ascii="宋体" w:hAnsi="宋体"/>
        </w:rPr>
      </w:pPr>
      <w:bookmarkStart w:id="2" w:name="_Toc259028699"/>
      <w:bookmarkStart w:id="3" w:name="_Toc259028279"/>
      <w:bookmarkStart w:id="4" w:name="_Toc287606736"/>
      <w:r>
        <w:rPr>
          <w:rFonts w:hint="eastAsia" w:ascii="宋体" w:hAnsi="宋体"/>
        </w:rPr>
        <w:t>联 系 人：</w:t>
      </w:r>
      <w:r>
        <w:rPr>
          <w:rFonts w:hint="eastAsia" w:ascii="宋体" w:hAnsi="宋体"/>
          <w:lang w:eastAsia="zh-CN"/>
        </w:rPr>
        <w:t>尹</w:t>
      </w:r>
      <w:r>
        <w:rPr>
          <w:rFonts w:hint="eastAsia" w:ascii="宋体" w:hAnsi="宋体"/>
        </w:rPr>
        <w:t>工</w:t>
      </w:r>
    </w:p>
    <w:p>
      <w:pPr>
        <w:widowControl/>
        <w:spacing w:line="360" w:lineRule="auto"/>
        <w:ind w:firstLine="525" w:firstLineChars="250"/>
        <w:rPr>
          <w:rFonts w:hint="default" w:ascii="宋体" w:hAnsi="宋体" w:eastAsia="宋体"/>
          <w:lang w:val="en-US" w:eastAsia="zh-CN"/>
        </w:rPr>
      </w:pPr>
      <w:r>
        <w:rPr>
          <w:rFonts w:hint="eastAsia" w:ascii="宋体" w:hAnsi="宋体"/>
        </w:rPr>
        <w:t>电    话：</w:t>
      </w:r>
      <w:r>
        <w:rPr>
          <w:rFonts w:hint="eastAsia" w:ascii="宋体" w:hAnsi="宋体"/>
          <w:lang w:val="en-US" w:eastAsia="zh-CN"/>
        </w:rPr>
        <w:t>18907238842</w:t>
      </w:r>
    </w:p>
    <w:bookmarkEnd w:id="2"/>
    <w:bookmarkEnd w:id="3"/>
    <w:bookmarkEnd w:id="4"/>
    <w:p>
      <w:pPr>
        <w:spacing w:line="360" w:lineRule="auto"/>
        <w:rPr>
          <w:rFonts w:ascii="宋体" w:hAnsi="宋体" w:cs="宋体"/>
          <w:b/>
          <w:bCs/>
        </w:rPr>
      </w:pPr>
      <w:bookmarkStart w:id="5" w:name="_Toc430770076"/>
      <w:bookmarkEnd w:id="5"/>
      <w:r>
        <w:rPr>
          <w:rFonts w:hint="eastAsia" w:ascii="宋体" w:hAnsi="宋体" w:cs="宋体"/>
          <w:b/>
          <w:bCs/>
        </w:rPr>
        <w:t>九、信息发布媒体</w:t>
      </w:r>
    </w:p>
    <w:p>
      <w:pPr>
        <w:spacing w:line="360" w:lineRule="auto"/>
        <w:ind w:firstLine="420" w:firstLineChars="200"/>
        <w:rPr>
          <w:rFonts w:ascii="宋体" w:hAnsi="宋体"/>
        </w:rPr>
      </w:pPr>
      <w:r>
        <w:rPr>
          <w:rFonts w:hint="eastAsia" w:ascii="宋体" w:hAnsi="宋体"/>
        </w:rPr>
        <w:t>黄石市国有资产经营有限公司官网（http://www.hsgzgs.com/gkxx/zbgk2/zbgg9/）</w:t>
      </w:r>
    </w:p>
    <w:p>
      <w:pPr>
        <w:spacing w:line="500" w:lineRule="exact"/>
        <w:jc w:val="center"/>
        <w:outlineLvl w:val="0"/>
        <w:rPr>
          <w:rFonts w:ascii="Times New Roman" w:hAnsi="Times New Roman"/>
          <w:b/>
          <w:bCs/>
          <w:sz w:val="36"/>
          <w:szCs w:val="36"/>
        </w:rPr>
      </w:pPr>
      <w:bookmarkStart w:id="6" w:name="_Toc17517"/>
      <w:r>
        <w:rPr>
          <w:rFonts w:ascii="Times New Roman" w:hAnsi="Times New Roman"/>
          <w:b/>
          <w:bCs/>
          <w:sz w:val="36"/>
          <w:szCs w:val="36"/>
        </w:rPr>
        <w:br w:type="page"/>
      </w:r>
      <w:r>
        <w:rPr>
          <w:rFonts w:hint="eastAsia" w:ascii="Times New Roman" w:hAnsi="Times New Roman"/>
          <w:b/>
          <w:bCs/>
          <w:sz w:val="36"/>
          <w:szCs w:val="36"/>
        </w:rPr>
        <w:t>第二章竞争性磋商须知</w:t>
      </w:r>
    </w:p>
    <w:p>
      <w:pPr>
        <w:spacing w:line="500" w:lineRule="exact"/>
        <w:jc w:val="center"/>
        <w:outlineLvl w:val="0"/>
        <w:rPr>
          <w:rFonts w:ascii="Times New Roman" w:hAnsi="Times New Roman"/>
          <w:b/>
          <w:bCs/>
          <w:sz w:val="30"/>
          <w:szCs w:val="30"/>
        </w:rPr>
      </w:pPr>
      <w:r>
        <w:rPr>
          <w:rFonts w:hint="eastAsia" w:ascii="Times New Roman" w:hAnsi="Times New Roman"/>
          <w:b/>
          <w:bCs/>
          <w:sz w:val="30"/>
          <w:szCs w:val="30"/>
        </w:rPr>
        <w:t>响应供应商须知前附表</w:t>
      </w:r>
    </w:p>
    <w:p>
      <w:pPr>
        <w:autoSpaceDE w:val="0"/>
        <w:autoSpaceDN w:val="0"/>
        <w:adjustRightInd w:val="0"/>
        <w:spacing w:line="360" w:lineRule="auto"/>
        <w:rPr>
          <w:rFonts w:ascii="宋体" w:hAnsi="宋体"/>
        </w:rPr>
      </w:pPr>
      <w:r>
        <w:rPr>
          <w:rFonts w:hint="eastAsia" w:ascii="宋体" w:hAnsi="宋体"/>
          <w:lang w:val="zh-CN"/>
        </w:rPr>
        <w:t>本表是对响应供应商须知的具体补充和修改，如有矛盾，应以本表为准。</w:t>
      </w:r>
    </w:p>
    <w:tbl>
      <w:tblPr>
        <w:tblStyle w:val="26"/>
        <w:tblW w:w="8991" w:type="dxa"/>
        <w:tblInd w:w="28" w:type="dxa"/>
        <w:tblLayout w:type="fixed"/>
        <w:tblCellMar>
          <w:top w:w="0" w:type="dxa"/>
          <w:left w:w="28" w:type="dxa"/>
          <w:bottom w:w="0" w:type="dxa"/>
          <w:right w:w="28" w:type="dxa"/>
        </w:tblCellMar>
      </w:tblPr>
      <w:tblGrid>
        <w:gridCol w:w="1843"/>
        <w:gridCol w:w="7148"/>
      </w:tblGrid>
      <w:tr>
        <w:tblPrEx>
          <w:tblCellMar>
            <w:top w:w="0" w:type="dxa"/>
            <w:left w:w="28" w:type="dxa"/>
            <w:bottom w:w="0" w:type="dxa"/>
            <w:right w:w="28" w:type="dxa"/>
          </w:tblCellMar>
        </w:tblPrEx>
        <w:trPr>
          <w:trHeight w:val="44" w:hRule="atLeast"/>
        </w:trPr>
        <w:tc>
          <w:tcPr>
            <w:tcW w:w="1843"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条款</w:t>
            </w:r>
          </w:p>
        </w:tc>
        <w:tc>
          <w:tcPr>
            <w:tcW w:w="7148"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内容</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pStyle w:val="23"/>
              <w:widowControl w:val="0"/>
              <w:autoSpaceDE w:val="0"/>
              <w:autoSpaceDN w:val="0"/>
              <w:adjustRightInd w:val="0"/>
              <w:spacing w:before="0" w:beforeAutospacing="0" w:after="0" w:afterAutospacing="0" w:line="360" w:lineRule="auto"/>
              <w:jc w:val="center"/>
              <w:rPr>
                <w:kern w:val="2"/>
                <w:sz w:val="21"/>
                <w:lang w:val="zh-CN"/>
              </w:rPr>
            </w:pPr>
            <w:r>
              <w:rPr>
                <w:rFonts w:hint="eastAsia"/>
                <w:kern w:val="2"/>
                <w:sz w:val="21"/>
                <w:lang w:val="zh-CN"/>
              </w:rPr>
              <w:t>采购人</w:t>
            </w:r>
          </w:p>
        </w:tc>
        <w:tc>
          <w:tcPr>
            <w:tcW w:w="7148" w:type="dxa"/>
            <w:tcBorders>
              <w:top w:val="single" w:color="auto" w:sz="6" w:space="0"/>
              <w:left w:val="single" w:color="auto" w:sz="6" w:space="0"/>
              <w:bottom w:val="single" w:color="auto" w:sz="6" w:space="0"/>
              <w:right w:val="single" w:color="auto" w:sz="12" w:space="0"/>
            </w:tcBorders>
            <w:vAlign w:val="center"/>
          </w:tcPr>
          <w:p>
            <w:pPr>
              <w:pStyle w:val="23"/>
              <w:widowControl w:val="0"/>
              <w:autoSpaceDE w:val="0"/>
              <w:autoSpaceDN w:val="0"/>
              <w:adjustRightInd w:val="0"/>
              <w:spacing w:before="48" w:beforeAutospacing="0" w:after="0" w:afterAutospacing="0" w:line="360" w:lineRule="auto"/>
              <w:rPr>
                <w:rFonts w:cs="方正小标宋简体"/>
                <w:bCs/>
                <w:sz w:val="21"/>
                <w:u w:val="single"/>
              </w:rPr>
            </w:pPr>
            <w:r>
              <w:rPr>
                <w:rFonts w:hint="eastAsia"/>
                <w:kern w:val="2"/>
                <w:sz w:val="21"/>
                <w:lang w:val="zh-CN"/>
              </w:rPr>
              <w:t>采购人：</w:t>
            </w:r>
            <w:r>
              <w:rPr>
                <w:rFonts w:hint="eastAsia" w:cs="方正小标宋简体"/>
                <w:bCs/>
                <w:sz w:val="21"/>
                <w:u w:val="single"/>
              </w:rPr>
              <w:t>黄石金安投资集团有限公司</w:t>
            </w:r>
          </w:p>
          <w:p>
            <w:pPr>
              <w:pStyle w:val="23"/>
              <w:widowControl w:val="0"/>
              <w:autoSpaceDE w:val="0"/>
              <w:autoSpaceDN w:val="0"/>
              <w:adjustRightInd w:val="0"/>
              <w:spacing w:before="48" w:beforeAutospacing="0" w:after="0" w:afterAutospacing="0" w:line="360" w:lineRule="auto"/>
              <w:rPr>
                <w:kern w:val="2"/>
                <w:sz w:val="21"/>
                <w:lang w:val="zh-CN"/>
              </w:rPr>
            </w:pPr>
            <w:r>
              <w:rPr>
                <w:rFonts w:hint="eastAsia"/>
                <w:kern w:val="2"/>
                <w:sz w:val="21"/>
                <w:lang w:val="zh-CN"/>
              </w:rPr>
              <w:t>联系人：尹工</w:t>
            </w:r>
          </w:p>
          <w:p>
            <w:pPr>
              <w:widowControl/>
              <w:spacing w:line="360" w:lineRule="auto"/>
              <w:rPr>
                <w:rFonts w:hint="default" w:ascii="宋体" w:hAnsi="宋体" w:eastAsia="宋体"/>
                <w:lang w:val="en-US" w:eastAsia="zh-CN"/>
              </w:rPr>
            </w:pPr>
            <w:r>
              <w:rPr>
                <w:rFonts w:hint="eastAsia" w:ascii="宋体" w:hAnsi="宋体"/>
                <w:lang w:val="zh-CN"/>
              </w:rPr>
              <w:t>联系电话：</w:t>
            </w:r>
            <w:r>
              <w:rPr>
                <w:rFonts w:hint="eastAsia" w:ascii="宋体" w:hAnsi="宋体"/>
                <w:lang w:val="en-US" w:eastAsia="zh-CN"/>
              </w:rPr>
              <w:t>18907238842</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项目名称</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hint="eastAsia" w:ascii="宋体" w:hAnsi="宋体" w:eastAsia="宋体"/>
                <w:lang w:val="zh-CN" w:eastAsia="zh-CN"/>
              </w:rPr>
            </w:pPr>
            <w:r>
              <w:rPr>
                <w:rFonts w:hint="eastAsia" w:ascii="宋体" w:hAnsi="宋体" w:cs="方正小标宋简体"/>
                <w:bCs/>
                <w:u w:val="single"/>
                <w:lang w:eastAsia="zh-CN"/>
              </w:rPr>
              <w:t>金安集团机关办公室装饰装修工程</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jc w:val="center"/>
              <w:rPr>
                <w:rFonts w:ascii="宋体" w:hAnsi="宋体"/>
                <w:lang w:val="zh-CN"/>
              </w:rPr>
            </w:pPr>
            <w:r>
              <w:rPr>
                <w:rFonts w:hint="eastAsia" w:ascii="宋体" w:hAnsi="宋体"/>
                <w:lang w:val="zh-CN"/>
              </w:rPr>
              <w:t>项目最高限价</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b/>
                <w:color w:val="FF0000"/>
              </w:rPr>
            </w:pPr>
            <w:r>
              <w:rPr>
                <w:rFonts w:hint="eastAsia" w:ascii="宋体" w:hAnsi="宋体"/>
                <w:b/>
                <w:color w:val="FF0000"/>
              </w:rPr>
              <w:t xml:space="preserve">￥ </w:t>
            </w:r>
            <w:r>
              <w:rPr>
                <w:rFonts w:hint="eastAsia" w:ascii="宋体" w:hAnsi="宋体"/>
                <w:b/>
                <w:color w:val="FF0000"/>
                <w:u w:val="single"/>
              </w:rPr>
              <w:t>882675.66</w:t>
            </w:r>
            <w:r>
              <w:rPr>
                <w:rFonts w:hint="eastAsia" w:ascii="宋体" w:hAnsi="宋体"/>
                <w:b/>
                <w:color w:val="FF0000"/>
              </w:rPr>
              <w:t xml:space="preserve"> 元，超过最高限价做无效投标处理。</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资金来源</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rPr>
            </w:pPr>
            <w:r>
              <w:rPr>
                <w:rFonts w:hint="eastAsia" w:ascii="宋体" w:hAnsi="宋体" w:cs="宋体"/>
                <w:bCs/>
              </w:rPr>
              <w:t>企业自有资金</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资金落实情况</w:t>
            </w:r>
          </w:p>
        </w:tc>
        <w:tc>
          <w:tcPr>
            <w:tcW w:w="7148" w:type="dxa"/>
            <w:tcBorders>
              <w:top w:val="single" w:color="auto" w:sz="6" w:space="0"/>
              <w:left w:val="single" w:color="auto" w:sz="6" w:space="0"/>
              <w:bottom w:val="single" w:color="auto" w:sz="6" w:space="0"/>
              <w:right w:val="single" w:color="auto" w:sz="12" w:space="0"/>
            </w:tcBorders>
            <w:vAlign w:val="center"/>
          </w:tcPr>
          <w:p>
            <w:pPr>
              <w:pStyle w:val="23"/>
              <w:widowControl w:val="0"/>
              <w:autoSpaceDE w:val="0"/>
              <w:autoSpaceDN w:val="0"/>
              <w:adjustRightInd w:val="0"/>
              <w:spacing w:before="0" w:beforeAutospacing="0" w:after="0" w:afterAutospacing="0" w:line="360" w:lineRule="auto"/>
              <w:rPr>
                <w:kern w:val="2"/>
                <w:sz w:val="21"/>
                <w:lang w:val="zh-CN"/>
              </w:rPr>
            </w:pPr>
            <w:r>
              <w:rPr>
                <w:rFonts w:hint="eastAsia"/>
                <w:kern w:val="2"/>
                <w:sz w:val="21"/>
                <w:lang w:val="zh-CN"/>
              </w:rPr>
              <w:t>已100%落实</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采购内容</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lang w:val="zh-CN"/>
              </w:rPr>
            </w:pPr>
            <w:r>
              <w:rPr>
                <w:rFonts w:hint="eastAsia" w:ascii="宋体" w:hAnsi="宋体"/>
              </w:rPr>
              <w:t>详见工程量清单</w:t>
            </w:r>
          </w:p>
        </w:tc>
      </w:tr>
      <w:tr>
        <w:tblPrEx>
          <w:tblCellMar>
            <w:top w:w="0" w:type="dxa"/>
            <w:left w:w="28" w:type="dxa"/>
            <w:bottom w:w="0" w:type="dxa"/>
            <w:right w:w="28" w:type="dxa"/>
          </w:tblCellMar>
        </w:tblPrEx>
        <w:trPr>
          <w:trHeight w:val="5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供应商资格要求</w:t>
            </w:r>
          </w:p>
        </w:tc>
        <w:tc>
          <w:tcPr>
            <w:tcW w:w="7148" w:type="dxa"/>
            <w:tcBorders>
              <w:top w:val="single" w:color="auto" w:sz="6" w:space="0"/>
              <w:left w:val="single" w:color="auto" w:sz="6" w:space="0"/>
              <w:bottom w:val="single" w:color="auto" w:sz="6" w:space="0"/>
              <w:right w:val="single" w:color="auto" w:sz="12" w:space="0"/>
            </w:tcBorders>
            <w:vAlign w:val="center"/>
          </w:tcPr>
          <w:p>
            <w:pPr>
              <w:pStyle w:val="23"/>
              <w:widowControl w:val="0"/>
              <w:autoSpaceDE w:val="0"/>
              <w:autoSpaceDN w:val="0"/>
              <w:adjustRightInd w:val="0"/>
              <w:spacing w:before="0" w:beforeAutospacing="0" w:after="0" w:afterAutospacing="0" w:line="360" w:lineRule="auto"/>
              <w:jc w:val="both"/>
              <w:rPr>
                <w:kern w:val="2"/>
                <w:sz w:val="21"/>
                <w:lang w:val="zh-CN"/>
              </w:rPr>
            </w:pPr>
            <w:r>
              <w:rPr>
                <w:rFonts w:hint="eastAsia"/>
                <w:kern w:val="2"/>
                <w:sz w:val="21"/>
                <w:lang w:val="zh-CN"/>
              </w:rPr>
              <w:t>详见招标公告“供应商资格要求”</w:t>
            </w:r>
          </w:p>
        </w:tc>
      </w:tr>
      <w:tr>
        <w:tblPrEx>
          <w:tblCellMar>
            <w:top w:w="0" w:type="dxa"/>
            <w:left w:w="28" w:type="dxa"/>
            <w:bottom w:w="0" w:type="dxa"/>
            <w:right w:w="28" w:type="dxa"/>
          </w:tblCellMar>
        </w:tblPrEx>
        <w:trPr>
          <w:trHeight w:val="62"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rPr>
              <w:t>是否接受联合体投标</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544"/>
              </w:tabs>
              <w:autoSpaceDE w:val="0"/>
              <w:autoSpaceDN w:val="0"/>
              <w:adjustRightInd w:val="0"/>
              <w:spacing w:line="360" w:lineRule="auto"/>
              <w:ind w:left="-27"/>
              <w:rPr>
                <w:rFonts w:ascii="宋体" w:hAnsi="宋体"/>
              </w:rPr>
            </w:pPr>
            <w:r>
              <w:rPr>
                <w:rFonts w:hint="eastAsia" w:ascii="宋体" w:hAnsi="宋体"/>
              </w:rPr>
              <w:t>不接受</w:t>
            </w:r>
          </w:p>
        </w:tc>
      </w:tr>
      <w:tr>
        <w:tblPrEx>
          <w:tblCellMar>
            <w:top w:w="0" w:type="dxa"/>
            <w:left w:w="28" w:type="dxa"/>
            <w:bottom w:w="0" w:type="dxa"/>
            <w:right w:w="28" w:type="dxa"/>
          </w:tblCellMar>
        </w:tblPrEx>
        <w:trPr>
          <w:trHeight w:val="62"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rPr>
            </w:pPr>
            <w:r>
              <w:rPr>
                <w:rFonts w:hint="eastAsia" w:ascii="宋体" w:hAnsi="宋体"/>
              </w:rPr>
              <w:t>勘察现场</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360"/>
              </w:tabs>
              <w:autoSpaceDE w:val="0"/>
              <w:autoSpaceDN w:val="0"/>
              <w:adjustRightInd w:val="0"/>
              <w:spacing w:line="360" w:lineRule="auto"/>
              <w:rPr>
                <w:rFonts w:ascii="宋体" w:hAnsi="宋体"/>
              </w:rPr>
            </w:pPr>
            <w:r>
              <w:rPr>
                <w:rFonts w:hint="eastAsia" w:ascii="宋体" w:hAnsi="宋体"/>
              </w:rPr>
              <w:t>不接受</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采购人发布紧急公告时间和媒体</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lang w:val="zh-CN"/>
              </w:rPr>
            </w:pPr>
            <w:r>
              <w:rPr>
                <w:rFonts w:hint="eastAsia" w:ascii="宋体" w:hAnsi="宋体"/>
                <w:lang w:val="zh-CN"/>
              </w:rPr>
              <w:t>磋商截止时间3日前</w:t>
            </w:r>
          </w:p>
          <w:p>
            <w:pPr>
              <w:spacing w:line="360" w:lineRule="auto"/>
              <w:rPr>
                <w:rFonts w:ascii="宋体" w:hAnsi="宋体"/>
              </w:rPr>
            </w:pPr>
            <w:r>
              <w:rPr>
                <w:rFonts w:hint="eastAsia" w:ascii="宋体" w:hAnsi="宋体"/>
              </w:rPr>
              <w:t>黄石市国有资产经营有限公司官网</w:t>
            </w:r>
          </w:p>
          <w:p>
            <w:pPr>
              <w:spacing w:line="360" w:lineRule="auto"/>
              <w:rPr>
                <w:rFonts w:ascii="宋体" w:hAnsi="宋体" w:cs="宋体"/>
              </w:rPr>
            </w:pPr>
            <w:r>
              <w:rPr>
                <w:rFonts w:hint="eastAsia" w:ascii="宋体" w:hAnsi="宋体"/>
              </w:rPr>
              <w:t>（http://www.hsgzgs.com/gkxx/zbgk2/zbgg9/）</w:t>
            </w:r>
          </w:p>
        </w:tc>
      </w:tr>
      <w:tr>
        <w:tblPrEx>
          <w:tblCellMar>
            <w:top w:w="0" w:type="dxa"/>
            <w:left w:w="28" w:type="dxa"/>
            <w:bottom w:w="0" w:type="dxa"/>
            <w:right w:w="28" w:type="dxa"/>
          </w:tblCellMar>
        </w:tblPrEx>
        <w:trPr>
          <w:trHeight w:val="552" w:hRule="atLeast"/>
        </w:trPr>
        <w:tc>
          <w:tcPr>
            <w:tcW w:w="1843" w:type="dxa"/>
            <w:tcBorders>
              <w:top w:val="single" w:color="auto" w:sz="6" w:space="0"/>
              <w:left w:val="single" w:color="auto" w:sz="12"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质量要求</w:t>
            </w:r>
          </w:p>
        </w:tc>
        <w:tc>
          <w:tcPr>
            <w:tcW w:w="7148" w:type="dxa"/>
            <w:tcBorders>
              <w:top w:val="single" w:color="auto" w:sz="6" w:space="0"/>
              <w:left w:val="single" w:color="auto" w:sz="6" w:space="0"/>
              <w:right w:val="single" w:color="auto" w:sz="12" w:space="0"/>
            </w:tcBorders>
            <w:vAlign w:val="center"/>
          </w:tcPr>
          <w:p>
            <w:pPr>
              <w:autoSpaceDE w:val="0"/>
              <w:autoSpaceDN w:val="0"/>
              <w:adjustRightInd w:val="0"/>
              <w:spacing w:line="360" w:lineRule="auto"/>
              <w:jc w:val="left"/>
              <w:rPr>
                <w:rFonts w:ascii="宋体" w:hAnsi="宋体"/>
                <w:lang w:val="zh-CN"/>
              </w:rPr>
            </w:pPr>
            <w:r>
              <w:rPr>
                <w:rFonts w:hint="eastAsia" w:ascii="宋体" w:hAnsi="宋体"/>
                <w:lang w:val="zh-CN"/>
              </w:rPr>
              <w:t>符合国家现行验收及评定标准、规范</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报价方式</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lang w:val="zh-CN"/>
              </w:rPr>
            </w:pPr>
            <w:r>
              <w:rPr>
                <w:rFonts w:hint="eastAsia" w:ascii="宋体" w:hAnsi="宋体"/>
              </w:rPr>
              <w:t>工程量清单计价方式</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付款方式</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rPr>
            </w:pPr>
            <w:r>
              <w:rPr>
                <w:rFonts w:hint="eastAsia" w:ascii="宋体" w:hAnsi="宋体"/>
              </w:rPr>
              <w:t>按合同约定</w:t>
            </w:r>
          </w:p>
        </w:tc>
      </w:tr>
      <w:tr>
        <w:tblPrEx>
          <w:tblCellMar>
            <w:top w:w="0" w:type="dxa"/>
            <w:left w:w="28" w:type="dxa"/>
            <w:bottom w:w="0" w:type="dxa"/>
            <w:right w:w="28" w:type="dxa"/>
          </w:tblCellMar>
        </w:tblPrEx>
        <w:trPr>
          <w:trHeight w:val="381"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工期</w:t>
            </w:r>
          </w:p>
        </w:tc>
        <w:tc>
          <w:tcPr>
            <w:tcW w:w="7148" w:type="dxa"/>
            <w:tcBorders>
              <w:top w:val="single" w:color="auto" w:sz="6" w:space="0"/>
              <w:left w:val="single" w:color="auto" w:sz="6" w:space="0"/>
              <w:bottom w:val="single" w:color="auto" w:sz="6" w:space="0"/>
              <w:right w:val="single" w:color="auto" w:sz="12" w:space="0"/>
            </w:tcBorders>
            <w:vAlign w:val="center"/>
          </w:tcPr>
          <w:p>
            <w:pPr>
              <w:rPr>
                <w:b/>
                <w:color w:val="FF0000"/>
                <w:u w:val="single"/>
              </w:rPr>
            </w:pPr>
            <w:r>
              <w:rPr>
                <w:rFonts w:hint="eastAsia"/>
                <w:b/>
                <w:color w:val="FF0000"/>
                <w:u w:val="single"/>
              </w:rPr>
              <w:t>25天（日历天），项目竣工验收合格</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磋商报价货币</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lang w:val="zh-CN"/>
              </w:rPr>
            </w:pPr>
            <w:r>
              <w:rPr>
                <w:rFonts w:hint="eastAsia" w:ascii="宋体" w:hAnsi="宋体"/>
                <w:lang w:val="zh-CN"/>
              </w:rPr>
              <w:t>人民币</w:t>
            </w:r>
          </w:p>
        </w:tc>
      </w:tr>
      <w:tr>
        <w:tblPrEx>
          <w:tblCellMar>
            <w:top w:w="0" w:type="dxa"/>
            <w:left w:w="28" w:type="dxa"/>
            <w:bottom w:w="0" w:type="dxa"/>
            <w:right w:w="28" w:type="dxa"/>
          </w:tblCellMar>
        </w:tblPrEx>
        <w:trPr>
          <w:cantSplit/>
          <w:trHeight w:val="59" w:hRule="atLeast"/>
        </w:trPr>
        <w:tc>
          <w:tcPr>
            <w:tcW w:w="1843" w:type="dxa"/>
            <w:tcBorders>
              <w:top w:val="single" w:color="auto" w:sz="6" w:space="0"/>
              <w:left w:val="single" w:color="auto" w:sz="12" w:space="0"/>
              <w:bottom w:val="single" w:color="auto" w:sz="4"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递交响应文件</w:t>
            </w:r>
          </w:p>
        </w:tc>
        <w:tc>
          <w:tcPr>
            <w:tcW w:w="7148" w:type="dxa"/>
            <w:tcBorders>
              <w:top w:val="single" w:color="auto" w:sz="6" w:space="0"/>
              <w:left w:val="single" w:color="auto" w:sz="6" w:space="0"/>
              <w:bottom w:val="single" w:color="auto" w:sz="4" w:space="0"/>
              <w:right w:val="single" w:color="auto" w:sz="12" w:space="0"/>
            </w:tcBorders>
            <w:vAlign w:val="center"/>
          </w:tcPr>
          <w:p>
            <w:pPr>
              <w:autoSpaceDE w:val="0"/>
              <w:autoSpaceDN w:val="0"/>
              <w:adjustRightInd w:val="0"/>
              <w:spacing w:line="360" w:lineRule="auto"/>
              <w:ind w:left="2"/>
              <w:rPr>
                <w:rFonts w:ascii="宋体" w:hAnsi="宋体"/>
                <w:highlight w:val="none"/>
              </w:rPr>
            </w:pPr>
            <w:r>
              <w:rPr>
                <w:rFonts w:hint="eastAsia" w:ascii="宋体" w:hAnsi="宋体"/>
                <w:b/>
                <w:color w:val="FF0000"/>
                <w:highlight w:val="none"/>
                <w:lang w:val="zh-CN"/>
              </w:rPr>
              <w:t>2021年</w:t>
            </w:r>
            <w:r>
              <w:rPr>
                <w:rFonts w:hint="eastAsia" w:ascii="宋体" w:hAnsi="宋体"/>
                <w:b/>
                <w:color w:val="FF0000"/>
                <w:highlight w:val="none"/>
              </w:rPr>
              <w:t>11</w:t>
            </w:r>
            <w:r>
              <w:rPr>
                <w:rFonts w:hint="eastAsia" w:ascii="宋体" w:hAnsi="宋体"/>
                <w:b/>
                <w:color w:val="FF0000"/>
                <w:highlight w:val="none"/>
                <w:lang w:val="zh-CN"/>
              </w:rPr>
              <w:t>月</w:t>
            </w:r>
            <w:r>
              <w:rPr>
                <w:rFonts w:hint="eastAsia" w:ascii="宋体" w:hAnsi="宋体"/>
                <w:b/>
                <w:color w:val="FF0000"/>
                <w:highlight w:val="none"/>
              </w:rPr>
              <w:t>1</w:t>
            </w:r>
            <w:r>
              <w:rPr>
                <w:rFonts w:hint="eastAsia" w:ascii="宋体" w:hAnsi="宋体"/>
                <w:b/>
                <w:color w:val="FF0000"/>
                <w:highlight w:val="none"/>
                <w:lang w:val="en-US" w:eastAsia="zh-CN"/>
              </w:rPr>
              <w:t>9</w:t>
            </w:r>
            <w:r>
              <w:rPr>
                <w:rFonts w:hint="eastAsia" w:ascii="宋体" w:hAnsi="宋体"/>
                <w:b/>
                <w:color w:val="FF0000"/>
                <w:highlight w:val="none"/>
                <w:lang w:val="zh-CN"/>
              </w:rPr>
              <w:t>日</w:t>
            </w:r>
            <w:r>
              <w:rPr>
                <w:rFonts w:hint="eastAsia" w:ascii="宋体" w:hAnsi="宋体"/>
                <w:highlight w:val="none"/>
                <w:lang w:val="en-US" w:eastAsia="zh-CN"/>
              </w:rPr>
              <w:t>14</w:t>
            </w:r>
            <w:r>
              <w:rPr>
                <w:rFonts w:hint="eastAsia" w:ascii="宋体" w:hAnsi="宋体"/>
                <w:highlight w:val="none"/>
                <w:lang w:val="zh-CN"/>
              </w:rPr>
              <w:t>时</w:t>
            </w:r>
            <w:r>
              <w:rPr>
                <w:rFonts w:hint="eastAsia" w:ascii="宋体" w:hAnsi="宋体"/>
                <w:highlight w:val="none"/>
              </w:rPr>
              <w:t>00</w:t>
            </w:r>
            <w:r>
              <w:rPr>
                <w:rFonts w:hint="eastAsia" w:ascii="宋体" w:hAnsi="宋体"/>
                <w:highlight w:val="none"/>
                <w:lang w:val="zh-CN"/>
              </w:rPr>
              <w:t>分（北京时间）开始</w:t>
            </w:r>
          </w:p>
        </w:tc>
      </w:tr>
      <w:tr>
        <w:tblPrEx>
          <w:tblCellMar>
            <w:top w:w="0" w:type="dxa"/>
            <w:left w:w="28" w:type="dxa"/>
            <w:bottom w:w="0" w:type="dxa"/>
            <w:right w:w="28" w:type="dxa"/>
          </w:tblCellMar>
        </w:tblPrEx>
        <w:trPr>
          <w:cantSplit/>
          <w:trHeight w:val="73" w:hRule="atLeast"/>
        </w:trPr>
        <w:tc>
          <w:tcPr>
            <w:tcW w:w="1843" w:type="dxa"/>
            <w:tcBorders>
              <w:top w:val="single" w:color="auto" w:sz="4"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截止时间</w:t>
            </w:r>
          </w:p>
        </w:tc>
        <w:tc>
          <w:tcPr>
            <w:tcW w:w="7148" w:type="dxa"/>
            <w:tcBorders>
              <w:top w:val="single" w:color="auto" w:sz="4" w:space="0"/>
              <w:left w:val="single" w:color="auto" w:sz="6" w:space="0"/>
              <w:bottom w:val="single" w:color="auto" w:sz="6" w:space="0"/>
              <w:right w:val="single" w:color="auto" w:sz="12" w:space="0"/>
            </w:tcBorders>
            <w:vAlign w:val="center"/>
          </w:tcPr>
          <w:p>
            <w:pPr>
              <w:autoSpaceDE w:val="0"/>
              <w:autoSpaceDN w:val="0"/>
              <w:adjustRightInd w:val="0"/>
              <w:spacing w:line="360" w:lineRule="auto"/>
              <w:rPr>
                <w:rFonts w:ascii="宋体" w:hAnsi="宋体"/>
                <w:highlight w:val="none"/>
              </w:rPr>
            </w:pPr>
            <w:r>
              <w:rPr>
                <w:rFonts w:hint="eastAsia" w:ascii="宋体" w:hAnsi="宋体"/>
                <w:b/>
                <w:color w:val="FF0000"/>
                <w:highlight w:val="none"/>
                <w:lang w:val="zh-CN"/>
              </w:rPr>
              <w:t>2021年</w:t>
            </w:r>
            <w:r>
              <w:rPr>
                <w:rFonts w:hint="eastAsia" w:ascii="宋体" w:hAnsi="宋体"/>
                <w:b/>
                <w:color w:val="FF0000"/>
                <w:highlight w:val="none"/>
              </w:rPr>
              <w:t>11</w:t>
            </w:r>
            <w:r>
              <w:rPr>
                <w:rFonts w:hint="eastAsia" w:ascii="宋体" w:hAnsi="宋体"/>
                <w:b/>
                <w:color w:val="FF0000"/>
                <w:highlight w:val="none"/>
                <w:lang w:val="zh-CN"/>
              </w:rPr>
              <w:t>月</w:t>
            </w:r>
            <w:r>
              <w:rPr>
                <w:rFonts w:hint="eastAsia" w:ascii="宋体" w:hAnsi="宋体"/>
                <w:b/>
                <w:color w:val="FF0000"/>
                <w:highlight w:val="none"/>
              </w:rPr>
              <w:t>1</w:t>
            </w:r>
            <w:r>
              <w:rPr>
                <w:rFonts w:hint="eastAsia" w:ascii="宋体" w:hAnsi="宋体"/>
                <w:b/>
                <w:color w:val="FF0000"/>
                <w:highlight w:val="none"/>
                <w:lang w:val="en-US" w:eastAsia="zh-CN"/>
              </w:rPr>
              <w:t>9</w:t>
            </w:r>
            <w:r>
              <w:rPr>
                <w:rFonts w:hint="eastAsia" w:ascii="宋体" w:hAnsi="宋体"/>
                <w:b/>
                <w:color w:val="FF0000"/>
                <w:highlight w:val="none"/>
                <w:lang w:val="zh-CN"/>
              </w:rPr>
              <w:t>日</w:t>
            </w:r>
            <w:r>
              <w:rPr>
                <w:rFonts w:hint="eastAsia" w:ascii="宋体" w:hAnsi="宋体"/>
                <w:highlight w:val="none"/>
                <w:lang w:val="en-US" w:eastAsia="zh-CN"/>
              </w:rPr>
              <w:t>14</w:t>
            </w:r>
            <w:r>
              <w:rPr>
                <w:rFonts w:hint="eastAsia" w:ascii="宋体" w:hAnsi="宋体"/>
                <w:highlight w:val="none"/>
                <w:lang w:val="zh-CN"/>
              </w:rPr>
              <w:t>时</w:t>
            </w:r>
            <w:r>
              <w:rPr>
                <w:rFonts w:hint="eastAsia" w:ascii="宋体" w:hAnsi="宋体"/>
                <w:highlight w:val="none"/>
              </w:rPr>
              <w:t>3</w:t>
            </w:r>
            <w:r>
              <w:rPr>
                <w:rFonts w:hint="eastAsia" w:ascii="宋体" w:hAnsi="宋体"/>
                <w:highlight w:val="none"/>
                <w:lang w:val="zh-CN"/>
              </w:rPr>
              <w:t>0分（北京时间），</w:t>
            </w:r>
            <w:r>
              <w:rPr>
                <w:rFonts w:hint="eastAsia" w:ascii="宋体" w:hAnsi="宋体"/>
                <w:highlight w:val="none"/>
              </w:rPr>
              <w:t>逾期送达的响应文件概不接受。</w:t>
            </w:r>
          </w:p>
        </w:tc>
      </w:tr>
      <w:tr>
        <w:tblPrEx>
          <w:tblCellMar>
            <w:top w:w="0" w:type="dxa"/>
            <w:left w:w="28" w:type="dxa"/>
            <w:bottom w:w="0" w:type="dxa"/>
            <w:right w:w="28" w:type="dxa"/>
          </w:tblCellMar>
        </w:tblPrEx>
        <w:trPr>
          <w:trHeight w:val="6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lang w:val="zh-CN"/>
              </w:rPr>
            </w:pPr>
            <w:r>
              <w:rPr>
                <w:rFonts w:hint="eastAsia" w:ascii="宋体" w:hAnsi="宋体"/>
                <w:lang w:val="zh-CN"/>
              </w:rPr>
              <w:t>竞争性磋商响应文件有效期</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rPr>
            </w:pPr>
            <w:r>
              <w:rPr>
                <w:rFonts w:hint="eastAsia" w:ascii="宋体" w:hAnsi="宋体"/>
              </w:rPr>
              <w:t>60天（从竞争性磋商响应文件截止之日算起）</w:t>
            </w:r>
          </w:p>
        </w:tc>
      </w:tr>
      <w:tr>
        <w:tblPrEx>
          <w:tblCellMar>
            <w:top w:w="0" w:type="dxa"/>
            <w:left w:w="28" w:type="dxa"/>
            <w:bottom w:w="0" w:type="dxa"/>
            <w:right w:w="28" w:type="dxa"/>
          </w:tblCellMar>
        </w:tblPrEx>
        <w:trPr>
          <w:trHeight w:val="899"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竞争性磋商响应文件份数</w:t>
            </w:r>
          </w:p>
        </w:tc>
        <w:tc>
          <w:tcPr>
            <w:tcW w:w="7148"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360" w:lineRule="auto"/>
              <w:jc w:val="left"/>
              <w:rPr>
                <w:rFonts w:ascii="宋体" w:hAnsi="宋体"/>
              </w:rPr>
            </w:pPr>
            <w:r>
              <w:rPr>
                <w:rFonts w:hint="eastAsia" w:ascii="宋体" w:hAnsi="宋体"/>
              </w:rPr>
              <w:t>正本一份，副本二份</w:t>
            </w:r>
          </w:p>
        </w:tc>
      </w:tr>
      <w:tr>
        <w:tblPrEx>
          <w:tblCellMar>
            <w:top w:w="0" w:type="dxa"/>
            <w:left w:w="28" w:type="dxa"/>
            <w:bottom w:w="0" w:type="dxa"/>
            <w:right w:w="28" w:type="dxa"/>
          </w:tblCellMar>
        </w:tblPrEx>
        <w:trPr>
          <w:trHeight w:val="1071"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递交竞争性磋商响应文件地点</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rPr>
            </w:pPr>
            <w:r>
              <w:rPr>
                <w:rFonts w:hint="eastAsia" w:ascii="宋体" w:hAnsi="宋体"/>
              </w:rPr>
              <w:t>黄石金安投资集团有限公司（地址：黄石市下陆区发展大道333号）四楼会议室</w:t>
            </w:r>
          </w:p>
        </w:tc>
      </w:tr>
      <w:tr>
        <w:tblPrEx>
          <w:tblCellMar>
            <w:top w:w="0" w:type="dxa"/>
            <w:left w:w="28" w:type="dxa"/>
            <w:bottom w:w="0" w:type="dxa"/>
            <w:right w:w="28" w:type="dxa"/>
          </w:tblCellMar>
        </w:tblPrEx>
        <w:trPr>
          <w:trHeight w:val="743"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是否退竞争性磋商响应文件</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cs="宋体"/>
              </w:rPr>
            </w:pPr>
            <w:r>
              <w:rPr>
                <w:rFonts w:hint="eastAsia" w:ascii="宋体" w:hAnsi="宋体" w:cs="宋体"/>
              </w:rPr>
              <w:t>否</w:t>
            </w:r>
          </w:p>
        </w:tc>
      </w:tr>
      <w:tr>
        <w:tblPrEx>
          <w:tblCellMar>
            <w:top w:w="0" w:type="dxa"/>
            <w:left w:w="28" w:type="dxa"/>
            <w:bottom w:w="0" w:type="dxa"/>
            <w:right w:w="28" w:type="dxa"/>
          </w:tblCellMar>
        </w:tblPrEx>
        <w:trPr>
          <w:trHeight w:val="743"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竞争性磋商小组组建方式</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cs="宋体"/>
              </w:rPr>
            </w:pPr>
            <w:r>
              <w:rPr>
                <w:rFonts w:hint="eastAsia" w:ascii="宋体" w:hAnsi="宋体" w:cs="宋体"/>
              </w:rPr>
              <w:t>磋商小组成员人数为3人以上单数组成，其中专家不得少于成员总人数的三分之二。磋商小组专家由采购人依规组建。</w:t>
            </w:r>
          </w:p>
        </w:tc>
      </w:tr>
      <w:tr>
        <w:tblPrEx>
          <w:tblCellMar>
            <w:top w:w="0" w:type="dxa"/>
            <w:left w:w="28" w:type="dxa"/>
            <w:bottom w:w="0" w:type="dxa"/>
            <w:right w:w="28" w:type="dxa"/>
          </w:tblCellMar>
        </w:tblPrEx>
        <w:trPr>
          <w:trHeight w:val="51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jc w:val="center"/>
              <w:rPr>
                <w:rFonts w:ascii="宋体" w:hAnsi="宋体"/>
                <w:lang w:val="zh-CN"/>
              </w:rPr>
            </w:pPr>
            <w:r>
              <w:rPr>
                <w:rFonts w:hint="eastAsia" w:ascii="宋体" w:hAnsi="宋体"/>
                <w:lang w:val="zh-CN"/>
              </w:rPr>
              <w:t>评审办法</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cs="宋体"/>
              </w:rPr>
            </w:pPr>
            <w:r>
              <w:rPr>
                <w:rFonts w:hint="eastAsia" w:ascii="宋体" w:hAnsi="宋体" w:cs="宋体"/>
              </w:rPr>
              <w:t>综合评分法</w:t>
            </w:r>
          </w:p>
        </w:tc>
      </w:tr>
      <w:tr>
        <w:tblPrEx>
          <w:tblCellMar>
            <w:top w:w="0" w:type="dxa"/>
            <w:left w:w="28" w:type="dxa"/>
            <w:bottom w:w="0" w:type="dxa"/>
            <w:right w:w="28" w:type="dxa"/>
          </w:tblCellMar>
        </w:tblPrEx>
        <w:trPr>
          <w:trHeight w:val="51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rPr>
                <w:rFonts w:ascii="宋体" w:hAnsi="宋体"/>
                <w:lang w:val="zh-CN"/>
              </w:rPr>
            </w:pPr>
            <w:r>
              <w:rPr>
                <w:rFonts w:hint="eastAsia" w:ascii="宋体" w:hAnsi="宋体"/>
                <w:lang w:val="zh-CN"/>
              </w:rPr>
              <w:t>响应人代表出席磋商会要求</w:t>
            </w:r>
          </w:p>
        </w:tc>
        <w:tc>
          <w:tcPr>
            <w:tcW w:w="7148" w:type="dxa"/>
            <w:tcBorders>
              <w:top w:val="single" w:color="auto" w:sz="6" w:space="0"/>
              <w:left w:val="single" w:color="auto" w:sz="6" w:space="0"/>
              <w:bottom w:val="single" w:color="auto" w:sz="6" w:space="0"/>
              <w:right w:val="single" w:color="auto" w:sz="12" w:space="0"/>
            </w:tcBorders>
            <w:vAlign w:val="center"/>
          </w:tcPr>
          <w:p>
            <w:pPr>
              <w:tabs>
                <w:tab w:val="left" w:pos="1560"/>
                <w:tab w:val="left" w:pos="1620"/>
              </w:tabs>
              <w:adjustRightInd w:val="0"/>
              <w:snapToGrid w:val="0"/>
              <w:spacing w:line="360" w:lineRule="auto"/>
              <w:rPr>
                <w:rFonts w:ascii="宋体" w:hAnsi="宋体" w:cs="宋体"/>
              </w:rPr>
            </w:pPr>
            <w:r>
              <w:rPr>
                <w:rFonts w:hint="eastAsia" w:ascii="宋体" w:hAnsi="宋体" w:cs="宋体"/>
              </w:rPr>
              <w:t>响应人的委托人代表需携带委托人原件、身份证原件、才能参加竞争性磋商。响应人的法定代表人参会竞争性磋商。响应人的法定代表人参会只需携带身份证原件。否则，响应人不具备竞争性磋商资格。</w:t>
            </w:r>
          </w:p>
        </w:tc>
      </w:tr>
      <w:tr>
        <w:tblPrEx>
          <w:tblCellMar>
            <w:top w:w="0" w:type="dxa"/>
            <w:left w:w="28" w:type="dxa"/>
            <w:bottom w:w="0" w:type="dxa"/>
            <w:right w:w="28" w:type="dxa"/>
          </w:tblCellMar>
        </w:tblPrEx>
        <w:trPr>
          <w:trHeight w:val="518"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jc w:val="center"/>
              <w:rPr>
                <w:rFonts w:ascii="宋体" w:hAnsi="宋体"/>
                <w:lang w:val="zh-CN"/>
              </w:rPr>
            </w:pPr>
            <w:r>
              <w:rPr>
                <w:rFonts w:hint="eastAsia" w:ascii="宋体" w:hAnsi="宋体"/>
                <w:lang w:val="zh-CN"/>
              </w:rPr>
              <w:t>成交公示媒介</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rPr>
            </w:pPr>
            <w:r>
              <w:rPr>
                <w:rFonts w:hint="eastAsia" w:ascii="宋体" w:hAnsi="宋体"/>
              </w:rPr>
              <w:t>黄石市国有资产经营有限公司官网</w:t>
            </w:r>
          </w:p>
          <w:p>
            <w:pPr>
              <w:spacing w:line="360" w:lineRule="auto"/>
              <w:rPr>
                <w:rFonts w:ascii="宋体" w:hAnsi="宋体" w:cs="宋体"/>
              </w:rPr>
            </w:pPr>
            <w:r>
              <w:rPr>
                <w:rFonts w:hint="eastAsia" w:ascii="宋体" w:hAnsi="宋体"/>
              </w:rPr>
              <w:t>（http://www.hsgzgs.com/gkxx/zbgk2/zbgg9/）</w:t>
            </w:r>
          </w:p>
        </w:tc>
      </w:tr>
      <w:tr>
        <w:tblPrEx>
          <w:tblCellMar>
            <w:top w:w="0" w:type="dxa"/>
            <w:left w:w="28" w:type="dxa"/>
            <w:bottom w:w="0" w:type="dxa"/>
            <w:right w:w="28" w:type="dxa"/>
          </w:tblCellMar>
        </w:tblPrEx>
        <w:trPr>
          <w:trHeight w:val="1097" w:hRule="atLeast"/>
        </w:trPr>
        <w:tc>
          <w:tcPr>
            <w:tcW w:w="1843" w:type="dxa"/>
            <w:tcBorders>
              <w:top w:val="single" w:color="auto" w:sz="6" w:space="0"/>
              <w:left w:val="single" w:color="auto" w:sz="12" w:space="0"/>
              <w:bottom w:val="single" w:color="auto" w:sz="6" w:space="0"/>
              <w:right w:val="single" w:color="auto" w:sz="6" w:space="0"/>
            </w:tcBorders>
            <w:vAlign w:val="center"/>
          </w:tcPr>
          <w:p>
            <w:pPr>
              <w:spacing w:line="360" w:lineRule="auto"/>
              <w:jc w:val="center"/>
              <w:rPr>
                <w:rFonts w:ascii="宋体" w:hAnsi="宋体" w:cs="宋体"/>
                <w:sz w:val="24"/>
                <w:szCs w:val="24"/>
              </w:rPr>
            </w:pPr>
            <w:r>
              <w:rPr>
                <w:rFonts w:hint="eastAsia" w:ascii="宋体" w:hAnsi="宋体" w:cs="宋体"/>
                <w:sz w:val="24"/>
                <w:szCs w:val="24"/>
              </w:rPr>
              <w:t>其他</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cs="宋体"/>
              </w:rPr>
            </w:pPr>
            <w:r>
              <w:rPr>
                <w:rFonts w:hint="eastAsia" w:ascii="宋体" w:hAnsi="宋体" w:cs="宋体"/>
              </w:rPr>
              <w:t>本项目采购人和中标人应按照有关规定，落实农民工实名制、工资专用账户、银行按月代发和工资保证金四项制度，维护各方合法权益并提供承诺书。</w:t>
            </w:r>
          </w:p>
        </w:tc>
      </w:tr>
      <w:tr>
        <w:tblPrEx>
          <w:tblCellMar>
            <w:top w:w="0" w:type="dxa"/>
            <w:left w:w="28" w:type="dxa"/>
            <w:bottom w:w="0" w:type="dxa"/>
            <w:right w:w="28" w:type="dxa"/>
          </w:tblCellMar>
        </w:tblPrEx>
        <w:trPr>
          <w:trHeight w:val="1067" w:hRule="atLeast"/>
        </w:trPr>
        <w:tc>
          <w:tcPr>
            <w:tcW w:w="1843"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60" w:lineRule="auto"/>
              <w:ind w:left="525" w:hanging="525" w:hangingChars="250"/>
              <w:jc w:val="center"/>
              <w:rPr>
                <w:rFonts w:ascii="宋体" w:hAnsi="宋体"/>
                <w:lang w:val="zh-CN"/>
              </w:rPr>
            </w:pPr>
            <w:r>
              <w:rPr>
                <w:rFonts w:hint="eastAsia" w:ascii="宋体" w:hAnsi="宋体"/>
                <w:lang w:val="zh-CN"/>
              </w:rPr>
              <w:t>特别说明</w:t>
            </w:r>
          </w:p>
        </w:tc>
        <w:tc>
          <w:tcPr>
            <w:tcW w:w="7148" w:type="dxa"/>
            <w:tcBorders>
              <w:top w:val="single" w:color="auto" w:sz="6" w:space="0"/>
              <w:left w:val="single" w:color="auto" w:sz="6" w:space="0"/>
              <w:bottom w:val="single" w:color="auto" w:sz="6" w:space="0"/>
              <w:right w:val="single" w:color="auto" w:sz="12" w:space="0"/>
            </w:tcBorders>
            <w:vAlign w:val="center"/>
          </w:tcPr>
          <w:p>
            <w:pPr>
              <w:spacing w:line="360" w:lineRule="auto"/>
              <w:rPr>
                <w:rFonts w:ascii="宋体" w:hAnsi="宋体"/>
                <w:b/>
                <w:color w:val="FF0000"/>
              </w:rPr>
            </w:pPr>
            <w:r>
              <w:rPr>
                <w:rFonts w:hint="eastAsia" w:ascii="宋体" w:hAnsi="宋体"/>
                <w:b/>
                <w:color w:val="FF0000"/>
              </w:rPr>
              <w:t>缺陷责任期：从竣工验收签发日起两年（</w:t>
            </w:r>
            <w:r>
              <w:rPr>
                <w:rFonts w:hint="eastAsia" w:ascii="宋体" w:hAnsi="宋体" w:cs="宋体"/>
                <w:b/>
                <w:color w:val="FF0000"/>
              </w:rPr>
              <w:t>成交供应商应按法律法规、行政法规和国家关于工程质量保修的有关规定，对交付采购方的工程在质量保修期按有关质保期限规定执行，并提供承诺书</w:t>
            </w:r>
            <w:r>
              <w:rPr>
                <w:rFonts w:hint="eastAsia" w:ascii="宋体" w:hAnsi="宋体"/>
                <w:b/>
                <w:color w:val="FF0000"/>
              </w:rPr>
              <w:t>）</w:t>
            </w:r>
          </w:p>
        </w:tc>
      </w:tr>
      <w:bookmarkEnd w:id="6"/>
    </w:tbl>
    <w:p>
      <w:pPr>
        <w:adjustRightInd w:val="0"/>
        <w:snapToGrid w:val="0"/>
        <w:spacing w:line="360" w:lineRule="auto"/>
        <w:ind w:right="-147" w:rightChars="-70"/>
        <w:outlineLvl w:val="0"/>
        <w:rPr>
          <w:rFonts w:ascii="宋体" w:hAnsi="宋体" w:cs="宋体"/>
          <w:b/>
        </w:rPr>
      </w:pPr>
    </w:p>
    <w:p>
      <w:pPr>
        <w:spacing w:line="360" w:lineRule="auto"/>
        <w:rPr>
          <w:rFonts w:ascii="宋体" w:hAnsi="宋体" w:cs="宋体"/>
          <w:bCs/>
        </w:rPr>
      </w:pPr>
      <w:r>
        <w:rPr>
          <w:rFonts w:hint="eastAsia" w:ascii="宋体" w:hAnsi="宋体" w:cs="宋体"/>
          <w:bCs/>
        </w:rPr>
        <w:t>一、总　则</w:t>
      </w:r>
    </w:p>
    <w:p>
      <w:pPr>
        <w:spacing w:line="360" w:lineRule="auto"/>
        <w:ind w:left="420" w:hanging="420"/>
        <w:rPr>
          <w:rFonts w:ascii="宋体" w:hAnsi="宋体" w:cs="宋体"/>
          <w:bCs/>
        </w:rPr>
      </w:pPr>
      <w:r>
        <w:rPr>
          <w:rFonts w:ascii="宋体" w:hAnsi="宋体" w:cs="宋体"/>
          <w:bCs/>
        </w:rPr>
        <w:t xml:space="preserve">1. </w:t>
      </w:r>
      <w:r>
        <w:rPr>
          <w:rFonts w:hint="eastAsia" w:ascii="宋体" w:hAnsi="宋体" w:cs="宋体"/>
          <w:bCs/>
        </w:rPr>
        <w:t>适用范围</w:t>
      </w:r>
    </w:p>
    <w:p>
      <w:pPr>
        <w:spacing w:line="360" w:lineRule="auto"/>
        <w:ind w:left="420" w:hanging="420"/>
        <w:rPr>
          <w:rFonts w:ascii="宋体" w:hAnsi="宋体" w:cs="宋体"/>
          <w:bCs/>
        </w:rPr>
      </w:pPr>
      <w:r>
        <w:rPr>
          <w:rFonts w:ascii="宋体" w:hAnsi="宋体" w:cs="宋体"/>
          <w:bCs/>
        </w:rPr>
        <w:t xml:space="preserve">1.1 </w:t>
      </w:r>
      <w:r>
        <w:rPr>
          <w:rFonts w:hint="eastAsia" w:ascii="宋体" w:hAnsi="宋体" w:cs="宋体"/>
          <w:bCs/>
        </w:rPr>
        <w:t>本文件仅适用于本文件中所叙述的货物、服务、工程类政府采购项目。</w:t>
      </w:r>
    </w:p>
    <w:p>
      <w:pPr>
        <w:spacing w:line="360" w:lineRule="auto"/>
        <w:ind w:left="420" w:hanging="420"/>
        <w:rPr>
          <w:rFonts w:ascii="宋体" w:hAnsi="宋体" w:cs="宋体"/>
          <w:bCs/>
        </w:rPr>
      </w:pPr>
      <w:r>
        <w:rPr>
          <w:rFonts w:ascii="宋体" w:hAnsi="宋体" w:cs="宋体"/>
          <w:bCs/>
        </w:rPr>
        <w:t xml:space="preserve">2. </w:t>
      </w:r>
      <w:r>
        <w:rPr>
          <w:rFonts w:hint="eastAsia" w:ascii="宋体" w:hAnsi="宋体" w:cs="宋体"/>
          <w:bCs/>
        </w:rPr>
        <w:t>定义</w:t>
      </w:r>
    </w:p>
    <w:p>
      <w:pPr>
        <w:spacing w:line="360" w:lineRule="auto"/>
        <w:ind w:left="420" w:hanging="420"/>
        <w:rPr>
          <w:rFonts w:ascii="宋体" w:hAnsi="宋体" w:cs="宋体"/>
          <w:bCs/>
        </w:rPr>
      </w:pPr>
      <w:r>
        <w:rPr>
          <w:rFonts w:ascii="宋体" w:hAnsi="宋体" w:cs="宋体"/>
          <w:bCs/>
        </w:rPr>
        <w:t>2.1</w:t>
      </w:r>
      <w:r>
        <w:rPr>
          <w:rFonts w:hint="eastAsia" w:ascii="宋体" w:hAnsi="宋体" w:cs="宋体"/>
          <w:bCs/>
        </w:rPr>
        <w:t>“采购人”是指：</w:t>
      </w:r>
      <w:r>
        <w:rPr>
          <w:rFonts w:hint="eastAsia" w:cs="方正小标宋简体"/>
          <w:bCs/>
          <w:u w:val="single"/>
        </w:rPr>
        <w:t>黄石金安投资集团有限公司</w:t>
      </w:r>
      <w:r>
        <w:rPr>
          <w:rFonts w:hint="eastAsia" w:ascii="宋体" w:hAnsi="宋体" w:cs="宋体"/>
          <w:bCs/>
        </w:rPr>
        <w:t>。</w:t>
      </w:r>
    </w:p>
    <w:p>
      <w:pPr>
        <w:spacing w:line="360" w:lineRule="auto"/>
        <w:ind w:left="420" w:hanging="420"/>
        <w:rPr>
          <w:rFonts w:ascii="宋体" w:hAnsi="宋体" w:cs="宋体"/>
          <w:bCs/>
        </w:rPr>
      </w:pPr>
      <w:r>
        <w:rPr>
          <w:rFonts w:ascii="宋体" w:hAnsi="宋体" w:cs="宋体"/>
          <w:bCs/>
        </w:rPr>
        <w:t>2.2</w:t>
      </w:r>
      <w:r>
        <w:rPr>
          <w:rFonts w:hint="eastAsia" w:ascii="宋体" w:hAnsi="宋体" w:cs="宋体"/>
          <w:bCs/>
        </w:rPr>
        <w:t>“监管机构”是指：</w:t>
      </w:r>
      <w:r>
        <w:rPr>
          <w:rFonts w:hint="eastAsia" w:ascii="宋体" w:hAnsi="宋体" w:cs="宋体"/>
          <w:bCs/>
          <w:u w:val="single"/>
        </w:rPr>
        <w:t>黄石金安投资集团纪检办</w:t>
      </w:r>
      <w:r>
        <w:rPr>
          <w:rFonts w:hint="eastAsia" w:ascii="宋体" w:hAnsi="宋体" w:cs="宋体"/>
          <w:bCs/>
        </w:rPr>
        <w:t>。</w:t>
      </w:r>
    </w:p>
    <w:p>
      <w:pPr>
        <w:spacing w:line="360" w:lineRule="auto"/>
        <w:ind w:left="420" w:hanging="420"/>
        <w:rPr>
          <w:rFonts w:ascii="宋体" w:hAnsi="宋体" w:cs="宋体"/>
          <w:bCs/>
        </w:rPr>
      </w:pPr>
      <w:r>
        <w:rPr>
          <w:rFonts w:ascii="宋体" w:hAnsi="宋体" w:cs="宋体"/>
          <w:bCs/>
        </w:rPr>
        <w:t>2.3</w:t>
      </w:r>
      <w:r>
        <w:rPr>
          <w:rFonts w:hint="eastAsia" w:ascii="宋体" w:hAnsi="宋体" w:cs="宋体"/>
          <w:bCs/>
        </w:rPr>
        <w:t>“政府采购代理机构”是指：。</w:t>
      </w:r>
    </w:p>
    <w:p>
      <w:pPr>
        <w:spacing w:line="360" w:lineRule="auto"/>
        <w:ind w:left="420" w:hanging="420"/>
        <w:rPr>
          <w:rFonts w:ascii="宋体" w:hAnsi="宋体" w:cs="宋体"/>
          <w:bCs/>
        </w:rPr>
      </w:pPr>
      <w:r>
        <w:rPr>
          <w:rFonts w:ascii="宋体" w:hAnsi="宋体" w:cs="宋体"/>
          <w:bCs/>
        </w:rPr>
        <w:t>2.4</w:t>
      </w:r>
      <w:r>
        <w:rPr>
          <w:rFonts w:hint="eastAsia" w:ascii="宋体" w:hAnsi="宋体" w:cs="宋体"/>
          <w:bCs/>
        </w:rPr>
        <w:t>“磋商小组”是指：</w:t>
      </w:r>
      <w:r>
        <w:rPr>
          <w:rFonts w:hint="eastAsia" w:ascii="宋体" w:hAnsi="宋体" w:cs="宋体"/>
          <w:bCs/>
          <w:u w:val="single"/>
        </w:rPr>
        <w:t>采购人依规组建的竞争性磋商小组</w:t>
      </w:r>
      <w:r>
        <w:rPr>
          <w:rFonts w:hint="eastAsia" w:ascii="宋体" w:hAnsi="宋体" w:cs="宋体"/>
          <w:bCs/>
        </w:rPr>
        <w:t>。</w:t>
      </w:r>
    </w:p>
    <w:p>
      <w:pPr>
        <w:spacing w:line="360" w:lineRule="auto"/>
        <w:ind w:left="420" w:hanging="420"/>
        <w:rPr>
          <w:rFonts w:ascii="宋体" w:hAnsi="宋体" w:cs="宋体"/>
          <w:bCs/>
        </w:rPr>
      </w:pPr>
      <w:r>
        <w:rPr>
          <w:rFonts w:ascii="宋体" w:hAnsi="宋体" w:cs="宋体"/>
          <w:bCs/>
        </w:rPr>
        <w:t>2.5</w:t>
      </w:r>
      <w:r>
        <w:rPr>
          <w:rFonts w:hint="eastAsia" w:ascii="宋体" w:hAnsi="宋体" w:cs="宋体"/>
          <w:bCs/>
        </w:rPr>
        <w:t>“磋商文件”是指：竞争性磋商文件。</w:t>
      </w:r>
    </w:p>
    <w:p>
      <w:pPr>
        <w:spacing w:line="360" w:lineRule="auto"/>
        <w:ind w:left="420" w:hanging="420"/>
        <w:rPr>
          <w:rFonts w:ascii="宋体" w:hAnsi="宋体" w:cs="宋体"/>
          <w:bCs/>
        </w:rPr>
      </w:pPr>
      <w:r>
        <w:rPr>
          <w:rFonts w:ascii="宋体" w:hAnsi="宋体" w:cs="宋体"/>
          <w:bCs/>
        </w:rPr>
        <w:t>2.6</w:t>
      </w:r>
      <w:r>
        <w:rPr>
          <w:rFonts w:hint="eastAsia" w:ascii="宋体" w:hAnsi="宋体" w:cs="宋体"/>
          <w:bCs/>
        </w:rPr>
        <w:t>“供应商”是指：获得该项目竞争性磋商小组确定参加竞争性磋商的法人、其他组织或者自然人。如果该供应商在本次竞争性磋商中成交</w:t>
      </w:r>
      <w:r>
        <w:rPr>
          <w:rFonts w:ascii="宋体" w:hAnsi="宋体" w:cs="宋体"/>
          <w:bCs/>
        </w:rPr>
        <w:t>,</w:t>
      </w:r>
      <w:r>
        <w:rPr>
          <w:rFonts w:hint="eastAsia" w:ascii="宋体" w:hAnsi="宋体" w:cs="宋体"/>
          <w:bCs/>
        </w:rPr>
        <w:t>即成为“成交供应商”。</w:t>
      </w:r>
    </w:p>
    <w:p>
      <w:pPr>
        <w:spacing w:line="360" w:lineRule="auto"/>
        <w:rPr>
          <w:rFonts w:ascii="宋体" w:hAnsi="宋体" w:cs="宋体"/>
          <w:bCs/>
        </w:rPr>
      </w:pPr>
      <w:r>
        <w:rPr>
          <w:rFonts w:ascii="宋体" w:hAnsi="宋体" w:cs="宋体"/>
          <w:bCs/>
        </w:rPr>
        <w:t>2.</w:t>
      </w:r>
      <w:r>
        <w:rPr>
          <w:rFonts w:hint="eastAsia" w:ascii="宋体" w:hAnsi="宋体" w:cs="宋体"/>
          <w:bCs/>
        </w:rPr>
        <w:t>7“工程”是指建设工程包括建筑物和构筑物的新建、改建、扩建、装修、拆除、修缮等。</w:t>
      </w:r>
    </w:p>
    <w:p>
      <w:pPr>
        <w:spacing w:line="360" w:lineRule="auto"/>
        <w:ind w:left="420" w:hanging="420"/>
        <w:rPr>
          <w:rFonts w:ascii="宋体" w:hAnsi="宋体" w:cs="宋体"/>
          <w:bCs/>
        </w:rPr>
      </w:pPr>
      <w:r>
        <w:rPr>
          <w:rFonts w:ascii="宋体" w:hAnsi="宋体" w:cs="宋体"/>
          <w:bCs/>
        </w:rPr>
        <w:t>2.</w:t>
      </w:r>
      <w:r>
        <w:rPr>
          <w:rFonts w:hint="eastAsia" w:ascii="宋体" w:hAnsi="宋体" w:cs="宋体"/>
          <w:bCs/>
        </w:rPr>
        <w:t>8“货物”是指：按本文件规定，成交供应商须向采购人提供的一切货物、手册及其他资料和材料。</w:t>
      </w:r>
    </w:p>
    <w:p>
      <w:pPr>
        <w:spacing w:line="360" w:lineRule="auto"/>
        <w:ind w:left="420" w:hanging="420"/>
        <w:rPr>
          <w:rFonts w:ascii="宋体" w:hAnsi="宋体" w:cs="宋体"/>
          <w:bCs/>
        </w:rPr>
      </w:pPr>
      <w:r>
        <w:rPr>
          <w:rFonts w:ascii="宋体" w:hAnsi="宋体" w:cs="宋体"/>
          <w:bCs/>
        </w:rPr>
        <w:t>2.</w:t>
      </w:r>
      <w:r>
        <w:rPr>
          <w:rFonts w:hint="eastAsia" w:ascii="宋体" w:hAnsi="宋体" w:cs="宋体"/>
          <w:bCs/>
        </w:rPr>
        <w:t>9“服务”是指：按本文件规定提供的所有服务。</w:t>
      </w:r>
    </w:p>
    <w:p>
      <w:pPr>
        <w:spacing w:line="360" w:lineRule="auto"/>
        <w:ind w:left="420" w:hanging="420"/>
        <w:rPr>
          <w:rFonts w:ascii="宋体" w:hAnsi="宋体" w:cs="宋体"/>
          <w:bCs/>
        </w:rPr>
      </w:pPr>
      <w:r>
        <w:rPr>
          <w:rFonts w:ascii="宋体" w:hAnsi="宋体" w:cs="宋体"/>
          <w:bCs/>
        </w:rPr>
        <w:t>2.</w:t>
      </w:r>
      <w:r>
        <w:rPr>
          <w:rFonts w:hint="eastAsia" w:ascii="宋体" w:hAnsi="宋体" w:cs="宋体"/>
          <w:bCs/>
        </w:rPr>
        <w:t>10“响应文件”是指：供应商根据本文件要求编制包含资格证明文件、价格构成、商务、技术和服务、其他供应商认为必须提交的资料等所有内容的文件。</w:t>
      </w:r>
    </w:p>
    <w:p>
      <w:pPr>
        <w:spacing w:line="360" w:lineRule="auto"/>
        <w:ind w:left="315" w:hanging="315" w:hangingChars="150"/>
        <w:rPr>
          <w:rFonts w:ascii="宋体" w:hAnsi="宋体" w:cs="宋体"/>
          <w:bCs/>
        </w:rPr>
      </w:pPr>
      <w:r>
        <w:rPr>
          <w:rFonts w:ascii="宋体" w:hAnsi="宋体" w:cs="宋体"/>
          <w:bCs/>
        </w:rPr>
        <w:t xml:space="preserve">3. </w:t>
      </w:r>
      <w:r>
        <w:rPr>
          <w:rFonts w:hint="eastAsia" w:ascii="宋体" w:hAnsi="宋体" w:cs="宋体"/>
          <w:bCs/>
        </w:rPr>
        <w:t>供应商的基本条件</w:t>
      </w:r>
    </w:p>
    <w:p>
      <w:pPr>
        <w:spacing w:line="360" w:lineRule="auto"/>
        <w:ind w:left="315" w:hanging="315" w:hangingChars="150"/>
        <w:rPr>
          <w:rFonts w:ascii="宋体" w:hAnsi="宋体" w:cs="宋体"/>
          <w:bCs/>
        </w:rPr>
      </w:pPr>
      <w:r>
        <w:rPr>
          <w:rFonts w:ascii="宋体" w:hAnsi="宋体" w:cs="宋体"/>
          <w:bCs/>
        </w:rPr>
        <w:t>3.1</w:t>
      </w:r>
      <w:r>
        <w:rPr>
          <w:rFonts w:hint="eastAsia" w:ascii="宋体" w:hAnsi="宋体" w:cs="宋体"/>
          <w:bCs/>
        </w:rPr>
        <w:t>本文件第一章第五条的要求。</w:t>
      </w:r>
    </w:p>
    <w:p>
      <w:pPr>
        <w:spacing w:line="360" w:lineRule="auto"/>
        <w:ind w:left="315" w:hanging="315" w:hangingChars="150"/>
        <w:rPr>
          <w:rFonts w:ascii="宋体" w:hAnsi="宋体" w:cs="宋体"/>
          <w:bCs/>
        </w:rPr>
      </w:pPr>
      <w:r>
        <w:rPr>
          <w:rFonts w:ascii="宋体" w:hAnsi="宋体" w:cs="宋体"/>
          <w:bCs/>
        </w:rPr>
        <w:t>4</w:t>
      </w:r>
      <w:r>
        <w:rPr>
          <w:rFonts w:hint="eastAsia" w:ascii="宋体" w:hAnsi="宋体" w:cs="宋体"/>
          <w:bCs/>
        </w:rPr>
        <w:t>．竞争性磋商费用</w:t>
      </w:r>
    </w:p>
    <w:p>
      <w:pPr>
        <w:spacing w:line="360" w:lineRule="auto"/>
        <w:ind w:left="315" w:hanging="315" w:hangingChars="150"/>
        <w:rPr>
          <w:rFonts w:ascii="宋体" w:hAnsi="宋体" w:cs="宋体"/>
          <w:bCs/>
          <w:lang w:val="zh-CN"/>
        </w:rPr>
      </w:pPr>
      <w:r>
        <w:rPr>
          <w:rFonts w:ascii="宋体" w:hAnsi="宋体" w:cs="宋体"/>
          <w:bCs/>
        </w:rPr>
        <w:t xml:space="preserve">4.1 </w:t>
      </w:r>
      <w:r>
        <w:rPr>
          <w:rFonts w:hint="eastAsia" w:ascii="宋体" w:hAnsi="宋体" w:cs="宋体"/>
          <w:bCs/>
        </w:rPr>
        <w:t>供应商应自行承担所有与编写和提交竞争性磋商响应文件有关的费用，不论竞争性磋商结果如何，采购人在任何情况下无义务和责任承担此类费用。</w:t>
      </w:r>
    </w:p>
    <w:p>
      <w:pPr>
        <w:spacing w:line="360" w:lineRule="auto"/>
        <w:ind w:left="315" w:hanging="315" w:hangingChars="150"/>
        <w:rPr>
          <w:rFonts w:ascii="宋体" w:hAnsi="宋体" w:cs="宋体"/>
          <w:bCs/>
        </w:rPr>
      </w:pPr>
      <w:r>
        <w:rPr>
          <w:rFonts w:ascii="宋体" w:hAnsi="宋体" w:cs="宋体"/>
          <w:bCs/>
        </w:rPr>
        <w:t xml:space="preserve">5.  </w:t>
      </w:r>
      <w:r>
        <w:rPr>
          <w:rFonts w:hint="eastAsia" w:ascii="宋体" w:hAnsi="宋体" w:cs="宋体"/>
          <w:bCs/>
        </w:rPr>
        <w:t>竞争性磋商保证金：本项目不需要缴纳竞争性磋商保证金。</w:t>
      </w:r>
    </w:p>
    <w:p>
      <w:pPr>
        <w:spacing w:line="360" w:lineRule="auto"/>
        <w:outlineLvl w:val="1"/>
        <w:rPr>
          <w:rFonts w:ascii="宋体" w:hAnsi="宋体" w:cs="宋体"/>
          <w:bCs/>
        </w:rPr>
      </w:pPr>
      <w:r>
        <w:rPr>
          <w:rFonts w:hint="eastAsia" w:ascii="宋体" w:hAnsi="宋体" w:cs="宋体"/>
          <w:bCs/>
        </w:rPr>
        <w:t>二、响应文件的编制</w:t>
      </w:r>
    </w:p>
    <w:p>
      <w:pPr>
        <w:spacing w:line="360" w:lineRule="auto"/>
        <w:ind w:left="315" w:hanging="315" w:hangingChars="150"/>
        <w:rPr>
          <w:rFonts w:ascii="宋体" w:hAnsi="宋体" w:cs="宋体"/>
          <w:bCs/>
        </w:rPr>
      </w:pPr>
      <w:r>
        <w:rPr>
          <w:rFonts w:ascii="宋体" w:hAnsi="宋体" w:cs="宋体"/>
          <w:bCs/>
        </w:rPr>
        <w:t xml:space="preserve">6. </w:t>
      </w:r>
      <w:r>
        <w:rPr>
          <w:rFonts w:hint="eastAsia" w:ascii="宋体" w:hAnsi="宋体" w:cs="宋体"/>
          <w:bCs/>
        </w:rPr>
        <w:t>响应文件编制基本要求</w:t>
      </w:r>
    </w:p>
    <w:p>
      <w:pPr>
        <w:spacing w:line="360" w:lineRule="auto"/>
        <w:ind w:left="315" w:hanging="315" w:hangingChars="150"/>
        <w:rPr>
          <w:rFonts w:ascii="宋体" w:hAnsi="宋体" w:cs="宋体"/>
          <w:bCs/>
        </w:rPr>
      </w:pPr>
      <w:r>
        <w:rPr>
          <w:rFonts w:ascii="宋体" w:hAnsi="宋体" w:cs="宋体"/>
          <w:bCs/>
        </w:rPr>
        <w:t>6.1</w:t>
      </w:r>
      <w:r>
        <w:rPr>
          <w:rFonts w:hint="eastAsia" w:ascii="宋体" w:hAnsi="宋体" w:cs="宋体"/>
          <w:bCs/>
        </w:rPr>
        <w:t>响应文件以及与采购人就有关竞争性磋商的所有来往函电均应使用简体中文。</w:t>
      </w:r>
    </w:p>
    <w:p>
      <w:pPr>
        <w:spacing w:line="360" w:lineRule="auto"/>
        <w:ind w:left="315" w:hanging="315" w:hangingChars="150"/>
        <w:rPr>
          <w:rFonts w:ascii="宋体" w:hAnsi="宋体" w:cs="宋体"/>
          <w:bCs/>
        </w:rPr>
      </w:pPr>
      <w:r>
        <w:rPr>
          <w:rFonts w:ascii="宋体" w:hAnsi="宋体" w:cs="宋体"/>
          <w:bCs/>
        </w:rPr>
        <w:t>6.2</w:t>
      </w:r>
      <w:r>
        <w:rPr>
          <w:rFonts w:hint="eastAsia" w:ascii="宋体" w:hAnsi="宋体" w:cs="宋体"/>
          <w:bCs/>
        </w:rPr>
        <w:t>供应商应认真阅读、并充分理解本文件的全部内容（包括所有的补充、修改内容），承诺并履行本文件中各项条款规定及要求。</w:t>
      </w:r>
    </w:p>
    <w:p>
      <w:pPr>
        <w:spacing w:line="360" w:lineRule="auto"/>
        <w:ind w:left="315" w:hanging="315" w:hangingChars="150"/>
        <w:rPr>
          <w:rFonts w:ascii="宋体" w:hAnsi="宋体" w:cs="宋体"/>
          <w:bCs/>
        </w:rPr>
      </w:pPr>
      <w:r>
        <w:rPr>
          <w:rFonts w:ascii="宋体" w:hAnsi="宋体" w:cs="宋体"/>
          <w:bCs/>
        </w:rPr>
        <w:t>6.3</w:t>
      </w:r>
      <w:r>
        <w:rPr>
          <w:rFonts w:hint="eastAsia" w:ascii="宋体" w:hAnsi="宋体" w:cs="宋体"/>
          <w:bCs/>
        </w:rPr>
        <w:t>响应文件须按本文件的全部内容，包括所有的补充通知及附件进行编制。</w:t>
      </w:r>
    </w:p>
    <w:p>
      <w:pPr>
        <w:spacing w:line="360" w:lineRule="auto"/>
        <w:ind w:left="315" w:hanging="315" w:hangingChars="150"/>
        <w:rPr>
          <w:rFonts w:ascii="宋体" w:hAnsi="宋体" w:cs="宋体"/>
          <w:bCs/>
        </w:rPr>
      </w:pPr>
      <w:r>
        <w:rPr>
          <w:rFonts w:ascii="宋体" w:hAnsi="宋体" w:cs="宋体"/>
          <w:bCs/>
        </w:rPr>
        <w:t>6.4</w:t>
      </w:r>
      <w:r>
        <w:rPr>
          <w:rFonts w:hint="eastAsia" w:ascii="宋体" w:hAnsi="宋体" w:cs="宋体"/>
          <w:bCs/>
        </w:rPr>
        <w:t>如因供应商只填写和提供了本文件要求的部分内容和附件，而给评审造成困难，其可能导致的结果和责任由商供应商自行承担。</w:t>
      </w:r>
    </w:p>
    <w:p>
      <w:pPr>
        <w:spacing w:line="360" w:lineRule="auto"/>
        <w:ind w:left="315" w:hanging="315" w:hangingChars="150"/>
        <w:rPr>
          <w:rFonts w:ascii="宋体" w:hAnsi="宋体" w:cs="宋体"/>
          <w:bCs/>
        </w:rPr>
      </w:pPr>
      <w:r>
        <w:rPr>
          <w:rFonts w:ascii="宋体" w:hAnsi="宋体" w:cs="宋体"/>
          <w:bCs/>
        </w:rPr>
        <w:t>6.5</w:t>
      </w:r>
      <w:r>
        <w:rPr>
          <w:rFonts w:hint="eastAsia" w:ascii="宋体" w:hAnsi="宋体" w:cs="宋体"/>
          <w:bCs/>
        </w:rPr>
        <w:t>响应文件的组成，不限于内容</w:t>
      </w:r>
      <w:r>
        <w:rPr>
          <w:rFonts w:ascii="宋体" w:hAnsi="宋体" w:cs="宋体"/>
          <w:bCs/>
        </w:rPr>
        <w:t>,</w:t>
      </w:r>
      <w:r>
        <w:rPr>
          <w:rFonts w:hint="eastAsia" w:ascii="宋体" w:hAnsi="宋体" w:cs="宋体"/>
          <w:bCs/>
        </w:rPr>
        <w:t>应该有的必须提供</w:t>
      </w:r>
      <w:r>
        <w:rPr>
          <w:rFonts w:ascii="宋体" w:hAnsi="宋体" w:cs="宋体"/>
          <w:bCs/>
        </w:rPr>
        <w:t>,</w:t>
      </w:r>
      <w:r>
        <w:rPr>
          <w:rFonts w:hint="eastAsia" w:ascii="宋体" w:hAnsi="宋体" w:cs="宋体"/>
          <w:bCs/>
        </w:rPr>
        <w:t>如未提供</w:t>
      </w:r>
      <w:r>
        <w:rPr>
          <w:rFonts w:ascii="宋体" w:hAnsi="宋体" w:cs="宋体"/>
          <w:bCs/>
        </w:rPr>
        <w:t>,</w:t>
      </w:r>
      <w:r>
        <w:rPr>
          <w:rFonts w:hint="eastAsia" w:ascii="宋体" w:hAnsi="宋体" w:cs="宋体"/>
          <w:bCs/>
        </w:rPr>
        <w:t>竞争性磋商小组有权拒绝其响应文件。</w:t>
      </w:r>
    </w:p>
    <w:p>
      <w:pPr>
        <w:spacing w:line="360" w:lineRule="auto"/>
        <w:ind w:left="315" w:hanging="315" w:hangingChars="150"/>
        <w:rPr>
          <w:rFonts w:ascii="宋体" w:hAnsi="宋体" w:cs="宋体"/>
          <w:bCs/>
        </w:rPr>
      </w:pPr>
      <w:r>
        <w:rPr>
          <w:rFonts w:hint="eastAsia" w:ascii="宋体" w:hAnsi="宋体" w:cs="宋体"/>
          <w:bCs/>
        </w:rPr>
        <w:t>7. 计量单位</w:t>
      </w:r>
    </w:p>
    <w:p>
      <w:pPr>
        <w:spacing w:line="360" w:lineRule="auto"/>
        <w:ind w:left="315" w:hanging="315" w:hangingChars="150"/>
        <w:rPr>
          <w:rFonts w:ascii="宋体" w:hAnsi="宋体" w:cs="宋体"/>
          <w:bCs/>
        </w:rPr>
      </w:pPr>
      <w:r>
        <w:rPr>
          <w:rFonts w:hint="eastAsia" w:ascii="宋体" w:hAnsi="宋体" w:cs="宋体"/>
          <w:bCs/>
        </w:rPr>
        <w:t>7.1除技术要求中另有规定外，本文件所使用的计量单位均应采用国家法定计量单位。</w:t>
      </w:r>
    </w:p>
    <w:p>
      <w:pPr>
        <w:spacing w:line="360" w:lineRule="auto"/>
        <w:outlineLvl w:val="1"/>
        <w:rPr>
          <w:rFonts w:ascii="宋体" w:hAnsi="宋体" w:cs="宋体"/>
          <w:bCs/>
        </w:rPr>
      </w:pPr>
      <w:r>
        <w:rPr>
          <w:rFonts w:hint="eastAsia" w:ascii="宋体" w:hAnsi="宋体" w:cs="宋体"/>
          <w:bCs/>
        </w:rPr>
        <w:t>三、响应文件有效期</w:t>
      </w:r>
    </w:p>
    <w:p>
      <w:pPr>
        <w:spacing w:line="360" w:lineRule="auto"/>
        <w:ind w:left="315" w:hanging="315" w:hangingChars="150"/>
        <w:rPr>
          <w:rFonts w:ascii="宋体" w:hAnsi="宋体" w:cs="宋体"/>
          <w:bCs/>
        </w:rPr>
      </w:pPr>
      <w:r>
        <w:rPr>
          <w:rFonts w:ascii="宋体" w:hAnsi="宋体" w:cs="宋体"/>
          <w:bCs/>
        </w:rPr>
        <w:t xml:space="preserve">8. </w:t>
      </w:r>
      <w:r>
        <w:rPr>
          <w:rFonts w:hint="eastAsia" w:ascii="宋体" w:hAnsi="宋体" w:cs="宋体"/>
          <w:bCs/>
        </w:rPr>
        <w:t>本项目竞争性磋商内容自竞争性磋商之日算起</w:t>
      </w:r>
      <w:r>
        <w:rPr>
          <w:rFonts w:hint="eastAsia" w:ascii="宋体" w:hAnsi="宋体" w:cs="宋体"/>
          <w:b/>
          <w:bCs/>
        </w:rPr>
        <w:t>60天</w:t>
      </w:r>
      <w:r>
        <w:rPr>
          <w:rFonts w:hint="eastAsia" w:ascii="宋体" w:hAnsi="宋体" w:cs="宋体"/>
          <w:bCs/>
        </w:rPr>
        <w:t>内保持有效。竞争性磋商结束后，在有效期内供应商不得改变竞争性磋商报价、服务期及承诺的全部义务。竞争性磋商有效期比本文件规定短的，竞争性磋商小组将视响应文件无效予以拒绝。</w:t>
      </w:r>
    </w:p>
    <w:p>
      <w:pPr>
        <w:spacing w:line="360" w:lineRule="auto"/>
        <w:ind w:left="315" w:hanging="315" w:hangingChars="150"/>
        <w:rPr>
          <w:rFonts w:ascii="宋体" w:hAnsi="宋体" w:cs="宋体"/>
          <w:b/>
        </w:rPr>
      </w:pPr>
      <w:r>
        <w:rPr>
          <w:rFonts w:ascii="宋体" w:hAnsi="宋体" w:cs="宋体"/>
          <w:bCs/>
        </w:rPr>
        <w:t xml:space="preserve">9. </w:t>
      </w:r>
      <w:r>
        <w:rPr>
          <w:rFonts w:hint="eastAsia" w:ascii="宋体" w:hAnsi="宋体" w:cs="宋体"/>
          <w:bCs/>
        </w:rPr>
        <w:t>在特殊情况下，在原竞争性磋商有效期满之前，政府采购代理机构可向供应商提出延长竞争性磋商有效期的要求。这种要求与答复均应采用书面形式。供应商可以拒绝代理机构的要求，其保证金不会被没收，但其响应文件在原有效期期满后将不再有效。同意延长竞争性磋商有效期的供应商不允许修改其响应文件。</w:t>
      </w:r>
    </w:p>
    <w:p>
      <w:pPr>
        <w:spacing w:line="360" w:lineRule="auto"/>
        <w:rPr>
          <w:rFonts w:ascii="宋体" w:hAnsi="宋体" w:cs="宋体"/>
        </w:rPr>
      </w:pPr>
      <w:r>
        <w:rPr>
          <w:rFonts w:hint="eastAsia" w:ascii="宋体" w:hAnsi="宋体" w:cs="宋体"/>
        </w:rPr>
        <w:t>四、报价要求</w:t>
      </w:r>
    </w:p>
    <w:p>
      <w:pPr>
        <w:spacing w:line="360" w:lineRule="auto"/>
        <w:rPr>
          <w:rFonts w:ascii="宋体" w:hAnsi="宋体" w:cs="宋体"/>
        </w:rPr>
      </w:pPr>
      <w:r>
        <w:rPr>
          <w:rFonts w:ascii="宋体" w:hAnsi="宋体" w:cs="宋体"/>
        </w:rPr>
        <w:t xml:space="preserve">10. </w:t>
      </w:r>
      <w:r>
        <w:rPr>
          <w:rFonts w:hint="eastAsia" w:ascii="宋体" w:hAnsi="宋体" w:cs="宋体"/>
        </w:rPr>
        <w:t>报价以人民币报价。</w:t>
      </w:r>
    </w:p>
    <w:p>
      <w:pPr>
        <w:spacing w:line="360" w:lineRule="auto"/>
        <w:rPr>
          <w:rFonts w:ascii="宋体" w:hAnsi="宋体" w:cs="宋体"/>
        </w:rPr>
      </w:pPr>
      <w:r>
        <w:rPr>
          <w:rFonts w:ascii="宋体" w:hAnsi="宋体" w:cs="宋体"/>
        </w:rPr>
        <w:t xml:space="preserve">10.1 </w:t>
      </w:r>
      <w:r>
        <w:rPr>
          <w:rFonts w:hint="eastAsia" w:ascii="宋体" w:hAnsi="宋体" w:cs="宋体"/>
        </w:rPr>
        <w:t>供应商应以人民币为单位结算，对于本文件中未列明，而磋商供应商认为必需的费用也需列入总报价。在合同实施时，采购人将不予支付成交供应商没有列入的项目费用，并认为此项目的费用已包括在总报价中。</w:t>
      </w:r>
    </w:p>
    <w:p>
      <w:pPr>
        <w:spacing w:line="360" w:lineRule="auto"/>
        <w:rPr>
          <w:rFonts w:ascii="宋体" w:hAnsi="宋体" w:cs="宋体"/>
        </w:rPr>
      </w:pPr>
      <w:r>
        <w:rPr>
          <w:rFonts w:ascii="宋体" w:hAnsi="宋体" w:cs="宋体"/>
        </w:rPr>
        <w:t xml:space="preserve">10.2 </w:t>
      </w:r>
      <w:r>
        <w:rPr>
          <w:rFonts w:hint="eastAsia" w:ascii="宋体" w:hAnsi="宋体" w:cs="宋体"/>
        </w:rPr>
        <w:t>成交供应商负责本项目的咨询、售后服务等全部工作。</w:t>
      </w:r>
    </w:p>
    <w:p>
      <w:pPr>
        <w:spacing w:line="360" w:lineRule="auto"/>
        <w:rPr>
          <w:rFonts w:ascii="宋体" w:hAnsi="宋体" w:cs="宋体"/>
        </w:rPr>
      </w:pPr>
      <w:r>
        <w:rPr>
          <w:rFonts w:hint="eastAsia" w:ascii="宋体" w:hAnsi="宋体" w:cs="宋体"/>
        </w:rPr>
        <w:t>10.3磋商报价包含协助业主单位准备项目初验、终验等全部费用。</w:t>
      </w:r>
    </w:p>
    <w:p>
      <w:pPr>
        <w:spacing w:line="360" w:lineRule="auto"/>
        <w:rPr>
          <w:rFonts w:ascii="宋体" w:hAnsi="宋体" w:cs="宋体"/>
        </w:rPr>
      </w:pPr>
      <w:r>
        <w:rPr>
          <w:rFonts w:ascii="宋体" w:hAnsi="宋体" w:cs="宋体"/>
        </w:rPr>
        <w:t>10.</w:t>
      </w:r>
      <w:r>
        <w:rPr>
          <w:rFonts w:hint="eastAsia" w:ascii="宋体" w:hAnsi="宋体" w:cs="宋体"/>
        </w:rPr>
        <w:t>4本项目控制价：</w:t>
      </w:r>
      <w:r>
        <w:rPr>
          <w:rFonts w:hint="eastAsia" w:ascii="宋体" w:hAnsi="宋体"/>
          <w:b/>
          <w:color w:val="FF0000"/>
          <w:u w:val="single"/>
        </w:rPr>
        <w:t>882675.66元</w:t>
      </w:r>
      <w:r>
        <w:rPr>
          <w:rFonts w:hint="eastAsia" w:ascii="宋体" w:hAnsi="宋体"/>
        </w:rPr>
        <w:t>，报价金额不得超过此项目控制价，否则将导致响应无效</w:t>
      </w:r>
      <w:r>
        <w:rPr>
          <w:rFonts w:hint="eastAsia" w:ascii="宋体" w:hAnsi="宋体" w:cs="宋体"/>
        </w:rPr>
        <w:t>，成交供应商负责本项目所需的售后服务等全部工作，文件另有规定的除外。</w:t>
      </w:r>
    </w:p>
    <w:p>
      <w:pPr>
        <w:spacing w:line="360" w:lineRule="auto"/>
        <w:rPr>
          <w:rFonts w:ascii="宋体" w:hAnsi="宋体" w:cs="宋体"/>
        </w:rPr>
      </w:pPr>
      <w:r>
        <w:rPr>
          <w:rFonts w:hint="eastAsia" w:ascii="宋体" w:hAnsi="宋体" w:cs="宋体"/>
        </w:rPr>
        <w:t>10.5磋商最终报价低于所有有效投标报价的算术平均值的20%以上时，磋商小组可启用澄清程序，要求供应商提供不低于成本的合理证据，如供应商无法以合理理由书面说明，视为无效响应作废标处理。</w:t>
      </w:r>
    </w:p>
    <w:p>
      <w:pPr>
        <w:spacing w:line="360" w:lineRule="auto"/>
        <w:rPr>
          <w:rFonts w:ascii="宋体" w:hAnsi="宋体" w:cs="宋体"/>
          <w:bCs/>
        </w:rPr>
      </w:pPr>
      <w:r>
        <w:rPr>
          <w:rFonts w:hint="eastAsia" w:ascii="宋体" w:hAnsi="宋体" w:cs="宋体"/>
          <w:bCs/>
        </w:rPr>
        <w:t>五、响应文件的份数、封装和递交</w:t>
      </w:r>
    </w:p>
    <w:p>
      <w:pPr>
        <w:spacing w:line="360" w:lineRule="auto"/>
        <w:ind w:left="420" w:hanging="420"/>
        <w:rPr>
          <w:rFonts w:ascii="宋体" w:hAnsi="宋体" w:cs="宋体"/>
          <w:bCs/>
        </w:rPr>
      </w:pPr>
      <w:r>
        <w:rPr>
          <w:rFonts w:ascii="宋体" w:hAnsi="宋体" w:cs="宋体"/>
          <w:bCs/>
        </w:rPr>
        <w:t xml:space="preserve">11. </w:t>
      </w:r>
      <w:r>
        <w:rPr>
          <w:rFonts w:hint="eastAsia" w:ascii="宋体" w:hAnsi="宋体" w:cs="宋体"/>
          <w:bCs/>
        </w:rPr>
        <w:t>响应文件的份数和封装</w:t>
      </w:r>
    </w:p>
    <w:p>
      <w:pPr>
        <w:spacing w:line="360" w:lineRule="auto"/>
        <w:rPr>
          <w:rFonts w:ascii="宋体" w:hAnsi="宋体" w:cs="宋体"/>
          <w:bCs/>
        </w:rPr>
      </w:pPr>
      <w:r>
        <w:rPr>
          <w:rFonts w:ascii="宋体" w:hAnsi="宋体" w:cs="宋体"/>
          <w:bCs/>
        </w:rPr>
        <w:t>12</w:t>
      </w:r>
      <w:r>
        <w:rPr>
          <w:rFonts w:hint="eastAsia" w:ascii="宋体" w:hAnsi="宋体" w:cs="宋体"/>
          <w:bCs/>
        </w:rPr>
        <w:t xml:space="preserve"> 所有文件胶装密封递交。响应文件一式三份，其中正本一份，副本二份。</w:t>
      </w:r>
    </w:p>
    <w:p>
      <w:pPr>
        <w:spacing w:line="360" w:lineRule="auto"/>
        <w:rPr>
          <w:rFonts w:ascii="宋体" w:hAnsi="宋体" w:cs="宋体"/>
          <w:bCs/>
        </w:rPr>
      </w:pPr>
      <w:r>
        <w:rPr>
          <w:rFonts w:ascii="宋体" w:hAnsi="宋体" w:cs="宋体"/>
          <w:bCs/>
        </w:rPr>
        <w:t>13.</w:t>
      </w:r>
      <w:r>
        <w:rPr>
          <w:rFonts w:hint="eastAsia" w:ascii="宋体" w:hAnsi="宋体" w:cs="宋体"/>
          <w:bCs/>
        </w:rPr>
        <w:t>响应文件的封面上应写明</w:t>
      </w:r>
      <w:r>
        <w:rPr>
          <w:rFonts w:ascii="宋体" w:hAnsi="宋体" w:cs="宋体"/>
          <w:bCs/>
        </w:rPr>
        <w:t>:</w:t>
      </w:r>
      <w:r>
        <w:rPr>
          <w:rFonts w:hint="eastAsia" w:ascii="宋体" w:hAnsi="宋体" w:cs="宋体"/>
          <w:bCs/>
        </w:rPr>
        <w:t>项目编号、项目名称、竞争性磋商内容、供应商名称。</w:t>
      </w:r>
    </w:p>
    <w:p>
      <w:pPr>
        <w:spacing w:line="360" w:lineRule="auto"/>
        <w:ind w:left="315" w:hanging="315" w:hangingChars="150"/>
        <w:rPr>
          <w:rFonts w:ascii="宋体" w:hAnsi="宋体" w:cs="宋体"/>
          <w:bCs/>
        </w:rPr>
      </w:pPr>
      <w:r>
        <w:rPr>
          <w:rFonts w:ascii="宋体" w:hAnsi="宋体" w:cs="宋体"/>
          <w:bCs/>
        </w:rPr>
        <w:t xml:space="preserve">14. </w:t>
      </w:r>
      <w:r>
        <w:rPr>
          <w:rFonts w:hint="eastAsia" w:ascii="宋体" w:hAnsi="宋体" w:cs="宋体"/>
          <w:bCs/>
        </w:rPr>
        <w:t>响应文件的递交</w:t>
      </w:r>
    </w:p>
    <w:p>
      <w:pPr>
        <w:pStyle w:val="7"/>
        <w:spacing w:line="360" w:lineRule="auto"/>
        <w:rPr>
          <w:rFonts w:ascii="宋体" w:hAnsi="宋体" w:cs="宋体"/>
          <w:bCs/>
          <w:szCs w:val="21"/>
        </w:rPr>
      </w:pPr>
      <w:r>
        <w:rPr>
          <w:rFonts w:ascii="宋体" w:hAnsi="宋体" w:cs="宋体"/>
          <w:bCs/>
          <w:szCs w:val="21"/>
        </w:rPr>
        <w:t>14.1</w:t>
      </w:r>
      <w:r>
        <w:rPr>
          <w:rFonts w:hint="eastAsia" w:ascii="宋体" w:hAnsi="宋体" w:cs="宋体"/>
          <w:bCs/>
          <w:szCs w:val="21"/>
        </w:rPr>
        <w:t>所有响应文件应于第一章“竞争性磋商邀请函”中规定的时间前递交到代理机构。</w:t>
      </w:r>
    </w:p>
    <w:p>
      <w:pPr>
        <w:spacing w:line="360" w:lineRule="auto"/>
        <w:ind w:left="315" w:hanging="315" w:hangingChars="150"/>
        <w:rPr>
          <w:rFonts w:ascii="宋体" w:hAnsi="宋体" w:cs="宋体"/>
          <w:bCs/>
        </w:rPr>
      </w:pPr>
      <w:r>
        <w:rPr>
          <w:rFonts w:ascii="宋体" w:hAnsi="宋体" w:cs="宋体"/>
          <w:bCs/>
        </w:rPr>
        <w:t xml:space="preserve">15. </w:t>
      </w:r>
      <w:r>
        <w:rPr>
          <w:rFonts w:hint="eastAsia" w:ascii="宋体" w:hAnsi="宋体" w:cs="宋体"/>
          <w:bCs/>
        </w:rPr>
        <w:t>迟交的响应文件</w:t>
      </w:r>
    </w:p>
    <w:p>
      <w:pPr>
        <w:pStyle w:val="7"/>
        <w:spacing w:line="360" w:lineRule="auto"/>
        <w:rPr>
          <w:rFonts w:ascii="宋体" w:hAnsi="宋体" w:cs="宋体"/>
          <w:bCs/>
          <w:szCs w:val="21"/>
        </w:rPr>
      </w:pPr>
      <w:r>
        <w:rPr>
          <w:rFonts w:ascii="宋体" w:hAnsi="宋体" w:cs="宋体"/>
          <w:bCs/>
          <w:szCs w:val="21"/>
        </w:rPr>
        <w:t>15.1</w:t>
      </w:r>
      <w:r>
        <w:rPr>
          <w:rFonts w:hint="eastAsia" w:ascii="宋体" w:hAnsi="宋体" w:cs="宋体"/>
          <w:bCs/>
          <w:szCs w:val="21"/>
        </w:rPr>
        <w:t>代理机构将拒绝或原封退回在其规定的递交响应文件截止时间之后递交的任何响应文件。</w:t>
      </w:r>
    </w:p>
    <w:p>
      <w:pPr>
        <w:spacing w:line="360" w:lineRule="auto"/>
        <w:outlineLvl w:val="1"/>
        <w:rPr>
          <w:rFonts w:ascii="宋体" w:hAnsi="宋体" w:cs="宋体"/>
          <w:bCs/>
        </w:rPr>
      </w:pPr>
      <w:r>
        <w:rPr>
          <w:rFonts w:hint="eastAsia" w:ascii="宋体" w:hAnsi="宋体" w:cs="宋体"/>
          <w:bCs/>
        </w:rPr>
        <w:t>六、竞争性磋商小组的组成</w:t>
      </w:r>
    </w:p>
    <w:p>
      <w:pPr>
        <w:spacing w:line="360" w:lineRule="auto"/>
        <w:ind w:left="420" w:hanging="420"/>
        <w:rPr>
          <w:rFonts w:ascii="宋体" w:hAnsi="宋体" w:cs="宋体"/>
          <w:bCs/>
        </w:rPr>
      </w:pPr>
      <w:r>
        <w:rPr>
          <w:rFonts w:ascii="宋体" w:hAnsi="宋体" w:cs="宋体"/>
          <w:bCs/>
        </w:rPr>
        <w:t>16.</w:t>
      </w:r>
      <w:r>
        <w:rPr>
          <w:rFonts w:hint="eastAsia" w:ascii="宋体" w:hAnsi="宋体" w:cs="宋体"/>
          <w:bCs/>
        </w:rPr>
        <w:t>竞争性磋商小组成员由</w:t>
      </w:r>
      <w:r>
        <w:rPr>
          <w:rFonts w:hint="eastAsia" w:ascii="宋体" w:hAnsi="宋体" w:cs="宋体"/>
          <w:b/>
          <w:bCs/>
          <w:color w:val="FF0000"/>
        </w:rPr>
        <w:t>采购人依规组建。</w:t>
      </w:r>
    </w:p>
    <w:p>
      <w:pPr>
        <w:spacing w:line="360" w:lineRule="auto"/>
        <w:ind w:left="315" w:hanging="315" w:hangingChars="150"/>
        <w:rPr>
          <w:rFonts w:ascii="宋体" w:hAnsi="宋体" w:cs="宋体"/>
          <w:bCs/>
        </w:rPr>
      </w:pPr>
      <w:r>
        <w:rPr>
          <w:rFonts w:ascii="宋体" w:hAnsi="宋体" w:cs="宋体"/>
          <w:bCs/>
        </w:rPr>
        <w:t>16.1</w:t>
      </w:r>
      <w:r>
        <w:rPr>
          <w:rFonts w:hint="eastAsia" w:ascii="宋体" w:hAnsi="宋体" w:cs="宋体"/>
          <w:bCs/>
        </w:rPr>
        <w:t>竞争性磋商小组负责响应文件的评审、竞争性磋商、商务服务评议并评分，根据综合评分情况编写评审报告，协助处理质疑、投诉等工作。</w:t>
      </w:r>
    </w:p>
    <w:p>
      <w:pPr>
        <w:spacing w:line="360" w:lineRule="auto"/>
        <w:outlineLvl w:val="1"/>
        <w:rPr>
          <w:rFonts w:ascii="宋体" w:hAnsi="宋体" w:cs="宋体"/>
          <w:bCs/>
        </w:rPr>
      </w:pPr>
      <w:r>
        <w:rPr>
          <w:rFonts w:hint="eastAsia" w:ascii="宋体" w:hAnsi="宋体" w:cs="宋体"/>
          <w:bCs/>
        </w:rPr>
        <w:t>七、竞争性磋商的步骤</w:t>
      </w:r>
    </w:p>
    <w:p>
      <w:pPr>
        <w:spacing w:line="360" w:lineRule="auto"/>
        <w:ind w:left="315" w:hanging="315" w:hangingChars="150"/>
        <w:rPr>
          <w:rFonts w:ascii="宋体" w:hAnsi="宋体" w:cs="宋体"/>
          <w:bCs/>
        </w:rPr>
      </w:pPr>
      <w:r>
        <w:rPr>
          <w:rFonts w:ascii="宋体" w:hAnsi="宋体" w:cs="宋体"/>
          <w:bCs/>
        </w:rPr>
        <w:t xml:space="preserve">17. </w:t>
      </w:r>
      <w:r>
        <w:rPr>
          <w:rFonts w:hint="eastAsia" w:ascii="宋体" w:hAnsi="宋体" w:cs="宋体"/>
          <w:bCs/>
        </w:rPr>
        <w:t>供应商授权代表或供应商法人按要求参加本项目竞争性磋商过程。</w:t>
      </w:r>
    </w:p>
    <w:p>
      <w:pPr>
        <w:spacing w:line="360" w:lineRule="auto"/>
        <w:ind w:left="315" w:hanging="315" w:hangingChars="150"/>
        <w:rPr>
          <w:rFonts w:ascii="宋体" w:hAnsi="宋体" w:cs="宋体"/>
          <w:bCs/>
        </w:rPr>
      </w:pPr>
      <w:r>
        <w:rPr>
          <w:rFonts w:ascii="宋体" w:hAnsi="宋体" w:cs="宋体"/>
          <w:bCs/>
        </w:rPr>
        <w:t xml:space="preserve">18. </w:t>
      </w:r>
      <w:r>
        <w:rPr>
          <w:rFonts w:hint="eastAsia" w:ascii="宋体" w:hAnsi="宋体" w:cs="宋体"/>
          <w:bCs/>
        </w:rPr>
        <w:t>资格性审查</w:t>
      </w:r>
    </w:p>
    <w:p>
      <w:pPr>
        <w:spacing w:line="360" w:lineRule="auto"/>
        <w:ind w:left="315" w:hanging="315" w:hangingChars="150"/>
        <w:rPr>
          <w:rFonts w:ascii="宋体" w:hAnsi="宋体" w:cs="宋体"/>
          <w:bCs/>
        </w:rPr>
      </w:pPr>
      <w:r>
        <w:rPr>
          <w:rFonts w:ascii="宋体" w:hAnsi="宋体" w:cs="宋体"/>
          <w:bCs/>
        </w:rPr>
        <w:t>18.1</w:t>
      </w:r>
      <w:r>
        <w:rPr>
          <w:rFonts w:hint="eastAsia" w:ascii="宋体" w:hAnsi="宋体" w:cs="宋体"/>
          <w:bCs/>
        </w:rPr>
        <w:t>竞争性磋商小组验证各供应商法人代表或委托授权人的身份。需提供法人代表身份证明文件或委托授权人身份证原件以供查验。供应商法人代表或委托授权人身份与响应文件不符的、响应文件未按要求加盖印章和签字的，竞争性磋商小组有权拒绝该供应商参加竞争性磋商。</w:t>
      </w:r>
    </w:p>
    <w:p>
      <w:pPr>
        <w:spacing w:line="360" w:lineRule="auto"/>
        <w:ind w:left="315" w:hanging="315" w:hangingChars="150"/>
        <w:rPr>
          <w:rFonts w:ascii="宋体" w:hAnsi="宋体" w:cs="宋体"/>
          <w:bCs/>
        </w:rPr>
      </w:pPr>
      <w:r>
        <w:rPr>
          <w:rFonts w:ascii="宋体" w:hAnsi="宋体" w:cs="宋体"/>
          <w:bCs/>
        </w:rPr>
        <w:t>18.2</w:t>
      </w:r>
      <w:r>
        <w:rPr>
          <w:rFonts w:hint="eastAsia" w:ascii="宋体" w:hAnsi="宋体" w:cs="宋体"/>
          <w:bCs/>
        </w:rPr>
        <w:t>竞争性磋商小组根据竞争性磋商文件规定对供应商响应文件的有效性、完整性和响应程度进行审查。审查内容包括供应商资格条件、是否足额缴纳保证金、实质性响应的情况等。未实质性响应竞争性磋商文件的响应文件按无效处理，并告知有关供应商。</w:t>
      </w:r>
    </w:p>
    <w:p>
      <w:pPr>
        <w:spacing w:line="360" w:lineRule="auto"/>
        <w:ind w:left="315" w:hanging="315" w:hangingChars="150"/>
        <w:rPr>
          <w:rFonts w:ascii="宋体" w:hAnsi="宋体" w:cs="宋体"/>
          <w:bCs/>
        </w:rPr>
      </w:pPr>
      <w:r>
        <w:rPr>
          <w:rFonts w:ascii="宋体" w:hAnsi="宋体" w:cs="宋体"/>
          <w:bCs/>
        </w:rPr>
        <w:t xml:space="preserve">19. </w:t>
      </w:r>
      <w:r>
        <w:rPr>
          <w:rFonts w:hint="eastAsia" w:ascii="宋体" w:hAnsi="宋体" w:cs="宋体"/>
          <w:bCs/>
        </w:rPr>
        <w:t>响应文件的澄清和说明</w:t>
      </w:r>
    </w:p>
    <w:p>
      <w:pPr>
        <w:spacing w:line="360" w:lineRule="auto"/>
        <w:ind w:left="315" w:hanging="315" w:hangingChars="150"/>
        <w:rPr>
          <w:rFonts w:ascii="宋体" w:hAnsi="宋体" w:cs="宋体"/>
          <w:bCs/>
        </w:rPr>
      </w:pPr>
      <w:r>
        <w:rPr>
          <w:rFonts w:ascii="宋体" w:hAnsi="宋体" w:cs="宋体"/>
          <w:bCs/>
        </w:rPr>
        <w:t>19.1</w:t>
      </w:r>
      <w:r>
        <w:rPr>
          <w:rFonts w:hint="eastAsia" w:ascii="宋体" w:hAnsi="宋体" w:cs="宋体"/>
          <w:bCs/>
        </w:rPr>
        <w:t>竞争性磋商小组可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360" w:lineRule="auto"/>
        <w:ind w:left="315" w:hanging="315" w:hangingChars="150"/>
        <w:rPr>
          <w:rFonts w:ascii="宋体" w:hAnsi="宋体" w:cs="宋体"/>
          <w:bCs/>
        </w:rPr>
      </w:pPr>
      <w:r>
        <w:rPr>
          <w:rFonts w:ascii="宋体" w:hAnsi="宋体" w:cs="宋体"/>
          <w:bCs/>
        </w:rPr>
        <w:t>19.2</w:t>
      </w:r>
      <w:r>
        <w:rPr>
          <w:rFonts w:hint="eastAsia" w:ascii="宋体" w:hAnsi="宋体" w:cs="宋体"/>
          <w:bCs/>
        </w:rPr>
        <w:t>竞争性磋商小组要求供应商澄清、说明或者更正响应文件应以书面形式作出。供应商的澄清、说明或者更正应当由法定代表人或其授权代表签字或者加盖印章。供应商为自然人的，应当由本人签字并附身份证明。</w:t>
      </w:r>
    </w:p>
    <w:p>
      <w:pPr>
        <w:spacing w:line="360" w:lineRule="auto"/>
        <w:ind w:left="315" w:hanging="315" w:hangingChars="150"/>
        <w:rPr>
          <w:rFonts w:ascii="宋体" w:hAnsi="宋体" w:cs="宋体"/>
          <w:bCs/>
        </w:rPr>
      </w:pPr>
      <w:r>
        <w:rPr>
          <w:rFonts w:ascii="宋体" w:hAnsi="宋体" w:cs="宋体"/>
          <w:bCs/>
        </w:rPr>
        <w:t>19.3</w:t>
      </w:r>
      <w:r>
        <w:rPr>
          <w:rFonts w:hint="eastAsia" w:ascii="宋体" w:hAnsi="宋体" w:cs="宋体"/>
          <w:bCs/>
        </w:rPr>
        <w:t>供应商可以对参加竞争性磋商项目的采购需求提出优化建议，并以书面提交竞争性磋商小组。</w:t>
      </w:r>
    </w:p>
    <w:p>
      <w:pPr>
        <w:spacing w:line="360" w:lineRule="auto"/>
        <w:rPr>
          <w:rFonts w:ascii="宋体" w:hAnsi="宋体" w:cs="宋体"/>
          <w:bCs/>
        </w:rPr>
      </w:pPr>
      <w:r>
        <w:rPr>
          <w:rFonts w:ascii="宋体" w:hAnsi="宋体" w:cs="宋体"/>
          <w:bCs/>
        </w:rPr>
        <w:t xml:space="preserve">20. </w:t>
      </w:r>
      <w:r>
        <w:rPr>
          <w:rFonts w:hint="eastAsia" w:ascii="宋体" w:hAnsi="宋体" w:cs="宋体"/>
          <w:bCs/>
        </w:rPr>
        <w:t>第一轮竞争性磋商</w:t>
      </w:r>
    </w:p>
    <w:p>
      <w:pPr>
        <w:spacing w:line="360" w:lineRule="auto"/>
        <w:rPr>
          <w:rFonts w:ascii="宋体" w:hAnsi="宋体" w:cs="宋体"/>
          <w:bCs/>
        </w:rPr>
      </w:pPr>
      <w:r>
        <w:rPr>
          <w:rFonts w:ascii="宋体" w:hAnsi="宋体" w:cs="宋体"/>
          <w:bCs/>
        </w:rPr>
        <w:t>20.1</w:t>
      </w:r>
      <w:r>
        <w:rPr>
          <w:rFonts w:hint="eastAsia" w:ascii="宋体" w:hAnsi="宋体" w:cs="宋体"/>
          <w:bCs/>
        </w:rPr>
        <w:t>竞争性磋商小组将按照签到的顺序与单一供应商分别进行竞争性磋商。</w:t>
      </w:r>
    </w:p>
    <w:p>
      <w:pPr>
        <w:spacing w:line="360" w:lineRule="auto"/>
        <w:rPr>
          <w:rFonts w:ascii="宋体" w:hAnsi="宋体" w:cs="宋体"/>
          <w:bCs/>
        </w:rPr>
      </w:pPr>
      <w:r>
        <w:rPr>
          <w:rFonts w:ascii="宋体" w:hAnsi="宋体" w:cs="宋体"/>
          <w:bCs/>
        </w:rPr>
        <w:t>20.2</w:t>
      </w:r>
      <w:r>
        <w:rPr>
          <w:rFonts w:hint="eastAsia" w:ascii="宋体" w:hAnsi="宋体" w:cs="宋体"/>
          <w:bCs/>
        </w:rPr>
        <w:t>竞争性磋商小组对照竞争性磋商文件与供应商的响应文件分别就采购需求、质量和服务等进行竞争性磋商，并了解其报价组成情况。竞争性磋商中，竞争性磋商的任何一方不得透露与竞争性磋商有关的其他供应商的技术资料、价格和其他信息。</w:t>
      </w:r>
    </w:p>
    <w:p>
      <w:pPr>
        <w:spacing w:line="360" w:lineRule="auto"/>
        <w:rPr>
          <w:rFonts w:ascii="宋体" w:hAnsi="宋体" w:cs="宋体"/>
          <w:bCs/>
        </w:rPr>
      </w:pPr>
      <w:r>
        <w:rPr>
          <w:rFonts w:ascii="宋体" w:hAnsi="宋体" w:cs="宋体"/>
          <w:bCs/>
        </w:rPr>
        <w:t>20.3</w:t>
      </w:r>
      <w:r>
        <w:rPr>
          <w:rFonts w:hint="eastAsia" w:ascii="宋体" w:hAnsi="宋体" w:cs="宋体"/>
          <w:bCs/>
        </w:rPr>
        <w:t>竞争性磋商小组按竞争性磋商文件设定的方法和标准确定供应商符合竞争性磋商文件要求的，该供应商即为合格的供应商。</w:t>
      </w:r>
    </w:p>
    <w:p>
      <w:pPr>
        <w:spacing w:line="360" w:lineRule="auto"/>
        <w:rPr>
          <w:rFonts w:ascii="宋体" w:hAnsi="宋体" w:cs="宋体"/>
          <w:bCs/>
        </w:rPr>
      </w:pPr>
      <w:r>
        <w:rPr>
          <w:rFonts w:ascii="宋体" w:hAnsi="宋体" w:cs="宋体"/>
          <w:bCs/>
        </w:rPr>
        <w:t>20.4</w:t>
      </w:r>
      <w:r>
        <w:rPr>
          <w:rFonts w:hint="eastAsia" w:ascii="宋体" w:hAnsi="宋体" w:cs="宋体"/>
          <w:bCs/>
        </w:rPr>
        <w:t>第一轮竞争性磋商后，合格的供应商超过三家的，竞争性磋商小组可根据采购项目的特点、采购人的实际需求及与各供应商的竞争性磋商情况对竞争性磋商文件作出实质性变动，并进行下一轮竞争性竞争性磋商，或直接进入最后报价。变动后的竞争性磋商文件至少有</w:t>
      </w:r>
      <w:r>
        <w:rPr>
          <w:rFonts w:ascii="宋体" w:hAnsi="宋体" w:cs="宋体"/>
          <w:bCs/>
        </w:rPr>
        <w:t>3</w:t>
      </w:r>
      <w:r>
        <w:rPr>
          <w:rFonts w:hint="eastAsia" w:ascii="宋体" w:hAnsi="宋体" w:cs="宋体"/>
          <w:bCs/>
        </w:rPr>
        <w:t>家供应商满足。</w:t>
      </w:r>
    </w:p>
    <w:p>
      <w:pPr>
        <w:spacing w:line="360" w:lineRule="auto"/>
        <w:rPr>
          <w:rFonts w:ascii="宋体" w:hAnsi="宋体" w:cs="宋体"/>
          <w:bCs/>
        </w:rPr>
      </w:pPr>
      <w:r>
        <w:rPr>
          <w:rFonts w:ascii="宋体" w:hAnsi="宋体" w:cs="宋体"/>
          <w:bCs/>
        </w:rPr>
        <w:t>20.5</w:t>
      </w:r>
      <w:r>
        <w:rPr>
          <w:rFonts w:hint="eastAsia" w:ascii="宋体" w:hAnsi="宋体" w:cs="宋体"/>
          <w:bCs/>
        </w:rPr>
        <w:t>合格的供应商不足三家的，竞争性磋商小组、采购人在降低采购需求中的技术、服务要求以及合同草案条款后进行下一轮竞争性磋商。否则，本次竞争性磋商终止。</w:t>
      </w:r>
    </w:p>
    <w:p>
      <w:pPr>
        <w:spacing w:line="360" w:lineRule="auto"/>
        <w:rPr>
          <w:rFonts w:ascii="宋体" w:hAnsi="宋体" w:cs="宋体"/>
          <w:bCs/>
        </w:rPr>
      </w:pPr>
      <w:r>
        <w:rPr>
          <w:rFonts w:ascii="宋体" w:hAnsi="宋体" w:cs="宋体"/>
          <w:bCs/>
        </w:rPr>
        <w:t>21.</w:t>
      </w:r>
      <w:r>
        <w:rPr>
          <w:rFonts w:hint="eastAsia" w:ascii="宋体" w:hAnsi="宋体" w:cs="宋体"/>
          <w:bCs/>
        </w:rPr>
        <w:t>竞争性磋商文件修正</w:t>
      </w:r>
    </w:p>
    <w:p>
      <w:pPr>
        <w:spacing w:line="360" w:lineRule="auto"/>
        <w:rPr>
          <w:rFonts w:ascii="宋体" w:hAnsi="宋体" w:cs="宋体"/>
          <w:bCs/>
        </w:rPr>
      </w:pPr>
      <w:r>
        <w:rPr>
          <w:rFonts w:ascii="宋体" w:hAnsi="宋体" w:cs="宋体"/>
          <w:bCs/>
        </w:rPr>
        <w:t>21.1</w:t>
      </w:r>
      <w:r>
        <w:rPr>
          <w:rFonts w:hint="eastAsia" w:ascii="宋体" w:hAnsi="宋体" w:cs="宋体"/>
          <w:bCs/>
        </w:rPr>
        <w:t>竞争性磋商小组可根据竞争性磋商文件和竞争性磋商情况实质性变动采购需求中的技术、服务要求以及合同草案条款，但不得变动竞争性磋商文件中的其他内容。对竞争性磋商文件作出的实质性变动是竞争性磋商文件的有效组成部分。</w:t>
      </w:r>
    </w:p>
    <w:p>
      <w:pPr>
        <w:spacing w:line="360" w:lineRule="auto"/>
        <w:rPr>
          <w:rFonts w:ascii="宋体" w:hAnsi="宋体" w:cs="宋体"/>
          <w:bCs/>
        </w:rPr>
      </w:pPr>
      <w:r>
        <w:rPr>
          <w:rFonts w:ascii="宋体" w:hAnsi="宋体" w:cs="宋体"/>
          <w:bCs/>
        </w:rPr>
        <w:t>21.2</w:t>
      </w:r>
      <w:r>
        <w:rPr>
          <w:rFonts w:hint="eastAsia" w:ascii="宋体" w:hAnsi="宋体" w:cs="宋体"/>
          <w:bCs/>
        </w:rPr>
        <w:t>竞争性磋商小组将竞争性磋商文件的修改结果以书面形式通知参加竞争性磋商的供应商。</w:t>
      </w:r>
    </w:p>
    <w:p>
      <w:pPr>
        <w:spacing w:line="360" w:lineRule="auto"/>
        <w:rPr>
          <w:rFonts w:ascii="宋体" w:hAnsi="宋体" w:cs="宋体"/>
          <w:bCs/>
        </w:rPr>
      </w:pPr>
      <w:r>
        <w:rPr>
          <w:rFonts w:ascii="宋体" w:hAnsi="宋体" w:cs="宋体"/>
          <w:bCs/>
        </w:rPr>
        <w:t>21.3</w:t>
      </w:r>
      <w:r>
        <w:rPr>
          <w:rFonts w:hint="eastAsia" w:ascii="宋体" w:hAnsi="宋体" w:cs="宋体"/>
          <w:bCs/>
        </w:rPr>
        <w:t>供应商根据第一轮竞争性磋商情况和竞争性磋商文件修改书面通知，对原响应文件进行修正，并将修正文件签字（或盖章）后密封送交竞争性磋商小组。逾时不交的，视同放弃竞争性磋商。修正文件与响应文件同具法律效应。</w:t>
      </w:r>
    </w:p>
    <w:p>
      <w:pPr>
        <w:spacing w:line="360" w:lineRule="auto"/>
        <w:rPr>
          <w:rFonts w:ascii="宋体" w:hAnsi="宋体" w:cs="宋体"/>
          <w:bCs/>
        </w:rPr>
      </w:pPr>
      <w:r>
        <w:rPr>
          <w:rFonts w:ascii="宋体" w:hAnsi="宋体" w:cs="宋体"/>
          <w:bCs/>
        </w:rPr>
        <w:t>21.4</w:t>
      </w:r>
      <w:r>
        <w:rPr>
          <w:rFonts w:hint="eastAsia" w:ascii="宋体" w:hAnsi="宋体" w:cs="宋体"/>
          <w:bCs/>
        </w:rPr>
        <w:t>对无法详细描述需求，需要供应商提供设计或者解决方案的项目，竞争性磋商小组可以根据采购人对需求确认情况，进行多轮竞争性磋商，直至采购人代表最终确认需求为止。</w:t>
      </w:r>
    </w:p>
    <w:p>
      <w:pPr>
        <w:spacing w:line="360" w:lineRule="auto"/>
        <w:rPr>
          <w:rFonts w:ascii="宋体" w:hAnsi="宋体" w:cs="宋体"/>
          <w:bCs/>
        </w:rPr>
      </w:pPr>
      <w:r>
        <w:rPr>
          <w:rFonts w:ascii="宋体" w:hAnsi="宋体" w:cs="宋体"/>
          <w:bCs/>
        </w:rPr>
        <w:t xml:space="preserve">22. </w:t>
      </w:r>
      <w:r>
        <w:rPr>
          <w:rFonts w:hint="eastAsia" w:ascii="宋体" w:hAnsi="宋体" w:cs="宋体"/>
          <w:bCs/>
        </w:rPr>
        <w:t>第二轮竞争性磋商</w:t>
      </w:r>
    </w:p>
    <w:p>
      <w:pPr>
        <w:spacing w:line="360" w:lineRule="auto"/>
        <w:rPr>
          <w:rFonts w:ascii="宋体" w:hAnsi="宋体" w:cs="宋体"/>
          <w:bCs/>
        </w:rPr>
      </w:pPr>
      <w:r>
        <w:rPr>
          <w:rFonts w:ascii="宋体" w:hAnsi="宋体" w:cs="宋体"/>
          <w:bCs/>
        </w:rPr>
        <w:t>22.1</w:t>
      </w:r>
      <w:r>
        <w:rPr>
          <w:rFonts w:hint="eastAsia" w:ascii="宋体" w:hAnsi="宋体" w:cs="宋体"/>
          <w:bCs/>
        </w:rPr>
        <w:t>竞争性磋商小组就修正后的竞争性磋商文件与供应商分别进行竞争性磋商。</w:t>
      </w:r>
    </w:p>
    <w:p>
      <w:pPr>
        <w:spacing w:line="360" w:lineRule="auto"/>
        <w:rPr>
          <w:rFonts w:ascii="宋体" w:hAnsi="宋体" w:cs="宋体"/>
          <w:bCs/>
        </w:rPr>
      </w:pPr>
      <w:r>
        <w:rPr>
          <w:rFonts w:ascii="宋体" w:hAnsi="宋体" w:cs="宋体"/>
          <w:bCs/>
        </w:rPr>
        <w:t>22.2</w:t>
      </w:r>
      <w:r>
        <w:rPr>
          <w:rFonts w:hint="eastAsia" w:ascii="宋体" w:hAnsi="宋体" w:cs="宋体"/>
          <w:bCs/>
        </w:rPr>
        <w:t>第二轮竞争性磋商结束后，实质性响应竞争性磋商文件及变动后竞争性磋商文件要求的供应商超过或不足三家的，按照上一轮竞争性磋商程序办理，以此类推。</w:t>
      </w:r>
    </w:p>
    <w:p>
      <w:pPr>
        <w:spacing w:line="360" w:lineRule="auto"/>
        <w:rPr>
          <w:rFonts w:ascii="宋体" w:hAnsi="宋体" w:cs="宋体"/>
          <w:bCs/>
        </w:rPr>
      </w:pPr>
      <w:r>
        <w:rPr>
          <w:rFonts w:ascii="宋体" w:hAnsi="宋体" w:cs="宋体"/>
          <w:bCs/>
        </w:rPr>
        <w:t xml:space="preserve">23. </w:t>
      </w:r>
      <w:r>
        <w:rPr>
          <w:rFonts w:hint="eastAsia" w:ascii="宋体" w:hAnsi="宋体" w:cs="宋体"/>
          <w:bCs/>
        </w:rPr>
        <w:t>最后报价</w:t>
      </w:r>
    </w:p>
    <w:p>
      <w:pPr>
        <w:spacing w:line="360" w:lineRule="auto"/>
        <w:rPr>
          <w:rFonts w:ascii="宋体" w:hAnsi="宋体" w:cs="宋体"/>
          <w:bCs/>
        </w:rPr>
      </w:pPr>
      <w:r>
        <w:rPr>
          <w:rFonts w:ascii="宋体" w:hAnsi="宋体" w:cs="宋体"/>
          <w:bCs/>
        </w:rPr>
        <w:t>23.1</w:t>
      </w:r>
      <w:r>
        <w:rPr>
          <w:rFonts w:hint="eastAsia" w:ascii="宋体" w:hAnsi="宋体" w:cs="宋体"/>
          <w:bCs/>
        </w:rPr>
        <w:t>竞争性磋商小组对竞争性磋商文件中能够详细列明采购标的的技术、服务要求的，在竞争性磋商结束后，所有继续参加竞争性磋商合格的供应商应在规定时间内提交最后报价。</w:t>
      </w:r>
    </w:p>
    <w:p>
      <w:pPr>
        <w:spacing w:line="360" w:lineRule="auto"/>
        <w:rPr>
          <w:rFonts w:ascii="宋体" w:hAnsi="宋体" w:cs="宋体"/>
          <w:bCs/>
        </w:rPr>
      </w:pPr>
      <w:r>
        <w:rPr>
          <w:rFonts w:ascii="宋体" w:hAnsi="宋体" w:cs="宋体"/>
          <w:bCs/>
        </w:rPr>
        <w:t>23.2</w:t>
      </w:r>
      <w:r>
        <w:rPr>
          <w:rFonts w:hint="eastAsia" w:ascii="宋体" w:hAnsi="宋体" w:cs="宋体"/>
          <w:bCs/>
        </w:rPr>
        <w:t>竞争性磋商小组对竞争性磋商文件中不能详细描述和列明采购标的的技术、服务要求，需通过竞争性磋商由供应商提供最终设计方案或解决方案的，在竞争性磋商结束后，竞争性磋商小组按照少数服从多数的原则投票推荐</w:t>
      </w:r>
      <w:r>
        <w:rPr>
          <w:rFonts w:ascii="宋体" w:hAnsi="宋体" w:cs="宋体"/>
          <w:bCs/>
        </w:rPr>
        <w:t>3</w:t>
      </w:r>
      <w:r>
        <w:rPr>
          <w:rFonts w:hint="eastAsia" w:ascii="宋体" w:hAnsi="宋体" w:cs="宋体"/>
          <w:bCs/>
        </w:rPr>
        <w:t>家以上合格供应商的设计方案或者解决方案，并要求其在规定时间内提交最后报价。</w:t>
      </w:r>
    </w:p>
    <w:p>
      <w:pPr>
        <w:spacing w:line="360" w:lineRule="auto"/>
        <w:rPr>
          <w:rFonts w:ascii="宋体" w:hAnsi="宋体" w:cs="宋体"/>
          <w:bCs/>
        </w:rPr>
      </w:pPr>
      <w:r>
        <w:rPr>
          <w:rFonts w:ascii="宋体" w:hAnsi="宋体" w:cs="宋体"/>
          <w:bCs/>
        </w:rPr>
        <w:t>23.3</w:t>
      </w:r>
      <w:r>
        <w:rPr>
          <w:rFonts w:hint="eastAsia" w:ascii="宋体" w:hAnsi="宋体" w:cs="宋体"/>
          <w:bCs/>
        </w:rPr>
        <w:t>供应商的报价均超过了项目控制价或有效报价未超过采购项目控制价的供应商不足三家的，竞争性磋商活动终止。</w:t>
      </w:r>
    </w:p>
    <w:p>
      <w:pPr>
        <w:spacing w:line="360" w:lineRule="auto"/>
        <w:rPr>
          <w:rFonts w:ascii="宋体" w:hAnsi="宋体" w:cs="宋体"/>
          <w:bCs/>
        </w:rPr>
      </w:pPr>
      <w:r>
        <w:rPr>
          <w:rFonts w:ascii="宋体" w:hAnsi="宋体" w:cs="宋体"/>
          <w:bCs/>
        </w:rPr>
        <w:t>23.4</w:t>
      </w:r>
      <w:r>
        <w:rPr>
          <w:rFonts w:hint="eastAsia" w:ascii="宋体" w:hAnsi="宋体" w:cs="宋体"/>
          <w:bCs/>
        </w:rPr>
        <w:t>最后报价文件应密封，并在规定的同一时间内提交。最后报价是供应商响应文件的有效组成部分。</w:t>
      </w:r>
    </w:p>
    <w:p>
      <w:pPr>
        <w:spacing w:line="360" w:lineRule="auto"/>
        <w:rPr>
          <w:rFonts w:ascii="宋体" w:hAnsi="宋体" w:cs="宋体"/>
          <w:bCs/>
        </w:rPr>
      </w:pPr>
      <w:r>
        <w:rPr>
          <w:rFonts w:ascii="宋体" w:hAnsi="宋体" w:cs="宋体"/>
          <w:bCs/>
        </w:rPr>
        <w:t>23.5</w:t>
      </w:r>
      <w:r>
        <w:rPr>
          <w:rFonts w:hint="eastAsia" w:ascii="宋体" w:hAnsi="宋体" w:cs="宋体"/>
          <w:bCs/>
        </w:rPr>
        <w:t>在提交最后报价之前，供应商可以根据竞争性磋商情况退出竞争性磋商。</w:t>
      </w:r>
    </w:p>
    <w:p>
      <w:pPr>
        <w:spacing w:line="360" w:lineRule="auto"/>
        <w:rPr>
          <w:rFonts w:ascii="宋体" w:hAnsi="宋体" w:cs="宋体"/>
          <w:bCs/>
        </w:rPr>
      </w:pPr>
      <w:r>
        <w:rPr>
          <w:rFonts w:ascii="宋体" w:hAnsi="宋体" w:cs="宋体"/>
          <w:bCs/>
        </w:rPr>
        <w:t>24.</w:t>
      </w:r>
      <w:r>
        <w:rPr>
          <w:rFonts w:hint="eastAsia" w:ascii="宋体" w:hAnsi="宋体" w:cs="宋体"/>
          <w:bCs/>
        </w:rPr>
        <w:t>综合评议</w:t>
      </w:r>
    </w:p>
    <w:p>
      <w:pPr>
        <w:spacing w:line="360" w:lineRule="auto"/>
        <w:rPr>
          <w:rFonts w:ascii="宋体" w:hAnsi="宋体" w:cs="宋体"/>
          <w:bCs/>
        </w:rPr>
      </w:pPr>
      <w:r>
        <w:rPr>
          <w:rFonts w:ascii="宋体" w:hAnsi="宋体" w:cs="宋体"/>
          <w:bCs/>
        </w:rPr>
        <w:t>24.1</w:t>
      </w:r>
      <w:r>
        <w:rPr>
          <w:rFonts w:hint="eastAsia" w:ascii="宋体" w:hAnsi="宋体" w:cs="宋体"/>
          <w:bCs/>
        </w:rPr>
        <w:t>竞争性磋商小组将按照竞争性磋商文件确定的评审办法对各供应商的响应文件进行商务服务评议和价格评议。</w:t>
      </w:r>
    </w:p>
    <w:p>
      <w:pPr>
        <w:spacing w:line="360" w:lineRule="auto"/>
        <w:rPr>
          <w:rFonts w:ascii="宋体" w:hAnsi="宋体" w:cs="宋体"/>
          <w:bCs/>
        </w:rPr>
      </w:pPr>
      <w:r>
        <w:rPr>
          <w:rFonts w:ascii="宋体" w:hAnsi="宋体" w:cs="宋体"/>
          <w:bCs/>
        </w:rPr>
        <w:t xml:space="preserve">24.2 </w:t>
      </w:r>
      <w:r>
        <w:rPr>
          <w:rFonts w:hint="eastAsia" w:ascii="宋体" w:hAnsi="宋体" w:cs="宋体"/>
          <w:bCs/>
        </w:rPr>
        <w:t>本次评审采用综合评分法，满分</w:t>
      </w:r>
      <w:r>
        <w:rPr>
          <w:rFonts w:ascii="宋体" w:hAnsi="宋体" w:cs="宋体"/>
          <w:bCs/>
        </w:rPr>
        <w:t>100</w:t>
      </w:r>
      <w:r>
        <w:rPr>
          <w:rFonts w:hint="eastAsia" w:ascii="宋体" w:hAnsi="宋体" w:cs="宋体"/>
          <w:bCs/>
        </w:rPr>
        <w:t>分。具体见“第四章评审办法及评审标准”。</w:t>
      </w:r>
    </w:p>
    <w:p>
      <w:pPr>
        <w:spacing w:line="360" w:lineRule="auto"/>
        <w:rPr>
          <w:rFonts w:ascii="宋体" w:hAnsi="宋体" w:cs="宋体"/>
          <w:bCs/>
        </w:rPr>
      </w:pPr>
      <w:r>
        <w:rPr>
          <w:rFonts w:ascii="宋体" w:hAnsi="宋体" w:cs="宋体"/>
          <w:bCs/>
        </w:rPr>
        <w:t>24.3</w:t>
      </w:r>
      <w:r>
        <w:rPr>
          <w:rFonts w:hint="eastAsia" w:ascii="宋体" w:hAnsi="宋体" w:cs="宋体"/>
          <w:bCs/>
        </w:rPr>
        <w:t>算术错误将按以下方法更正：若单价计算的结果与总价不一致，以单价为准修改总价；单价金额小数点有明显错位的，以总价为准并修改单价；若大写金额与小写金额不一致，以大写金额为准。如果供应商不接受对其错误的更正，其响应文件将被拒绝。</w:t>
      </w:r>
    </w:p>
    <w:p>
      <w:pPr>
        <w:spacing w:line="360" w:lineRule="auto"/>
        <w:rPr>
          <w:rFonts w:ascii="宋体" w:hAnsi="宋体" w:cs="宋体"/>
          <w:bCs/>
        </w:rPr>
      </w:pPr>
      <w:r>
        <w:rPr>
          <w:rFonts w:ascii="宋体" w:hAnsi="宋体" w:cs="宋体"/>
          <w:bCs/>
        </w:rPr>
        <w:t>24.4</w:t>
      </w:r>
      <w:r>
        <w:rPr>
          <w:rFonts w:hint="eastAsia" w:ascii="宋体" w:hAnsi="宋体" w:cs="宋体"/>
          <w:bCs/>
        </w:rPr>
        <w:t>竞争性磋商小组决定响应文件的响应性只根据响应文件本身的真实无误的内容，而不依据外部的证据，但响应文件有不真实不正确的内容时除外。</w:t>
      </w:r>
    </w:p>
    <w:p>
      <w:pPr>
        <w:spacing w:line="360" w:lineRule="auto"/>
        <w:outlineLvl w:val="1"/>
        <w:rPr>
          <w:rFonts w:ascii="宋体" w:hAnsi="宋体" w:cs="宋体"/>
          <w:bCs/>
        </w:rPr>
      </w:pPr>
      <w:r>
        <w:rPr>
          <w:rFonts w:hint="eastAsia" w:ascii="宋体" w:hAnsi="宋体" w:cs="宋体"/>
          <w:bCs/>
        </w:rPr>
        <w:t>八、确定成交供应商</w:t>
      </w:r>
    </w:p>
    <w:p>
      <w:pPr>
        <w:spacing w:line="360" w:lineRule="auto"/>
        <w:rPr>
          <w:rFonts w:ascii="宋体" w:hAnsi="宋体" w:cs="宋体"/>
          <w:bCs/>
        </w:rPr>
      </w:pPr>
      <w:r>
        <w:rPr>
          <w:rFonts w:ascii="宋体" w:hAnsi="宋体" w:cs="宋体"/>
          <w:bCs/>
        </w:rPr>
        <w:t>25.</w:t>
      </w:r>
      <w:r>
        <w:rPr>
          <w:rFonts w:hint="eastAsia" w:ascii="宋体" w:hAnsi="宋体" w:cs="宋体"/>
          <w:bCs/>
        </w:rPr>
        <w:t>竞争性磋商小组根据综合评分情况，按照评审得分由高到低顺序推荐</w:t>
      </w:r>
      <w:r>
        <w:rPr>
          <w:rFonts w:ascii="宋体" w:hAnsi="宋体" w:cs="宋体"/>
          <w:bCs/>
        </w:rPr>
        <w:t>3</w:t>
      </w:r>
      <w:r>
        <w:rPr>
          <w:rFonts w:hint="eastAsia" w:ascii="宋体" w:hAnsi="宋体" w:cs="宋体"/>
          <w:bCs/>
        </w:rPr>
        <w:t>名成交候选供应商，并编写评审报告。评审得分相同的，按照评审价格由低到高的顺序推荐。评审价格且最后报价相同的，按照技术指标优劣顺序推荐。</w:t>
      </w:r>
    </w:p>
    <w:p>
      <w:pPr>
        <w:spacing w:line="360" w:lineRule="auto"/>
        <w:rPr>
          <w:rFonts w:ascii="宋体" w:hAnsi="宋体" w:cs="宋体"/>
          <w:bCs/>
        </w:rPr>
      </w:pPr>
      <w:r>
        <w:rPr>
          <w:rFonts w:ascii="宋体" w:hAnsi="宋体" w:cs="宋体"/>
          <w:bCs/>
        </w:rPr>
        <w:t>26.</w:t>
      </w:r>
      <w:r>
        <w:rPr>
          <w:rFonts w:hint="eastAsia" w:ascii="宋体" w:hAnsi="宋体" w:cs="宋体"/>
          <w:bCs/>
        </w:rPr>
        <w:t>采购人从评审报告提出的成交候选供应商中，按照排序由高到低的原则确定成交供应商。</w:t>
      </w:r>
    </w:p>
    <w:p>
      <w:pPr>
        <w:spacing w:line="360" w:lineRule="auto"/>
        <w:rPr>
          <w:rFonts w:ascii="宋体" w:hAnsi="宋体" w:cs="宋体"/>
          <w:b/>
        </w:rPr>
      </w:pPr>
      <w:r>
        <w:rPr>
          <w:rFonts w:ascii="宋体" w:hAnsi="宋体" w:cs="宋体"/>
          <w:bCs/>
        </w:rPr>
        <w:t>27.</w:t>
      </w:r>
      <w:r>
        <w:rPr>
          <w:rFonts w:hint="eastAsia" w:ascii="宋体" w:hAnsi="宋体" w:cs="宋体"/>
          <w:b/>
        </w:rPr>
        <w:t>竞争性磋商小组根据供应商资格审查情况，采用按综合评分法</w:t>
      </w:r>
      <w:r>
        <w:rPr>
          <w:rFonts w:ascii="宋体" w:hAnsi="宋体" w:cs="宋体"/>
          <w:b/>
        </w:rPr>
        <w:t>,</w:t>
      </w:r>
      <w:r>
        <w:rPr>
          <w:rFonts w:hint="eastAsia" w:ascii="宋体" w:hAnsi="宋体" w:cs="宋体"/>
          <w:b/>
        </w:rPr>
        <w:t>对响应文件评价和比较，并按照评分标准进行打分，分类汇总评分结果，按评审后得分由高到低顺序排列。得分相同的，按评审价格由低到高顺序排列。得分且评审价格相同的，按技术指标优劣顺序排列。竞争性磋商小组推荐前三名成交候选供应商并出具评标报告。</w:t>
      </w:r>
    </w:p>
    <w:p>
      <w:pPr>
        <w:spacing w:line="360" w:lineRule="auto"/>
        <w:rPr>
          <w:rFonts w:ascii="宋体" w:hAnsi="宋体" w:cs="宋体"/>
          <w:bCs/>
        </w:rPr>
      </w:pPr>
      <w:r>
        <w:rPr>
          <w:rFonts w:ascii="宋体" w:hAnsi="宋体" w:cs="宋体"/>
          <w:bCs/>
        </w:rPr>
        <w:t>28.</w:t>
      </w:r>
      <w:r>
        <w:rPr>
          <w:rFonts w:hint="eastAsia" w:ascii="宋体" w:hAnsi="宋体" w:cs="宋体"/>
          <w:bCs/>
        </w:rPr>
        <w:t>成交供应商拒绝签订合同的，采购人可以按照《政府采购竞争性竞争性磋商采购方式管理暂行办法》第二十八条第二款规定的原则确定其他供应商作为成交供应商并签订合同，也可以重新开展采购活动。拒绝签订合同的成交供应商不得参加对该项目重新开展的采购活动。</w:t>
      </w:r>
    </w:p>
    <w:p>
      <w:pPr>
        <w:spacing w:line="360" w:lineRule="auto"/>
        <w:outlineLvl w:val="1"/>
        <w:rPr>
          <w:rFonts w:ascii="宋体" w:hAnsi="宋体" w:cs="宋体"/>
          <w:bCs/>
        </w:rPr>
      </w:pPr>
      <w:r>
        <w:rPr>
          <w:rFonts w:hint="eastAsia" w:ascii="宋体" w:hAnsi="宋体" w:cs="宋体"/>
          <w:bCs/>
        </w:rPr>
        <w:t>九、成交公告和质疑</w:t>
      </w:r>
    </w:p>
    <w:p>
      <w:pPr>
        <w:pStyle w:val="7"/>
        <w:spacing w:line="360" w:lineRule="auto"/>
        <w:rPr>
          <w:rFonts w:ascii="宋体" w:hAnsi="宋体" w:cs="宋体"/>
          <w:bCs/>
          <w:szCs w:val="21"/>
        </w:rPr>
      </w:pPr>
      <w:r>
        <w:rPr>
          <w:rFonts w:ascii="宋体" w:hAnsi="宋体" w:cs="宋体"/>
          <w:bCs/>
          <w:szCs w:val="21"/>
        </w:rPr>
        <w:t>29.</w:t>
      </w:r>
      <w:r>
        <w:rPr>
          <w:rFonts w:hint="eastAsia" w:ascii="宋体" w:hAnsi="宋体" w:cs="宋体"/>
          <w:bCs/>
          <w:szCs w:val="21"/>
        </w:rPr>
        <w:t>采购人在成交供应商确定后，在指定的媒体上公告成交结果，同时向成交供应商发出成交通知书。公告期限为1个工作日。</w:t>
      </w:r>
    </w:p>
    <w:p>
      <w:pPr>
        <w:spacing w:line="360" w:lineRule="auto"/>
        <w:rPr>
          <w:rFonts w:ascii="宋体" w:hAnsi="宋体" w:cs="宋体"/>
        </w:rPr>
      </w:pPr>
      <w:r>
        <w:rPr>
          <w:rFonts w:ascii="宋体" w:hAnsi="宋体" w:cs="宋体"/>
          <w:bCs/>
        </w:rPr>
        <w:t>30.</w:t>
      </w:r>
      <w:r>
        <w:rPr>
          <w:rFonts w:hint="eastAsia" w:ascii="宋体" w:hAnsi="宋体" w:cs="宋体"/>
          <w:bCs/>
        </w:rPr>
        <w:t>供应商认为成交结果使自己的权益受到损害的，可以在成交公告</w:t>
      </w:r>
      <w:r>
        <w:rPr>
          <w:rFonts w:hint="eastAsia" w:ascii="宋体" w:hAnsi="宋体" w:cs="宋体"/>
          <w:kern w:val="0"/>
          <w:lang w:val="zh-CN"/>
        </w:rPr>
        <w:t>期限届满之日（或采购程序环节结束之日）起三个工作日内，以书面形式向采购人提出质疑。</w:t>
      </w:r>
      <w:r>
        <w:rPr>
          <w:rFonts w:hint="eastAsia" w:ascii="宋体" w:hAnsi="宋体" w:cs="宋体"/>
        </w:rPr>
        <w:t>质疑实行实名制，其质疑应当有具体的质疑事项及事实依据，不得进行虚假、恶意质疑。属于虚假、恶意质疑的将列入不良行为记录名单，必要时予以网上公布。质疑书应当包括下列主要内容：</w:t>
      </w:r>
    </w:p>
    <w:p>
      <w:pPr>
        <w:spacing w:line="360" w:lineRule="auto"/>
        <w:rPr>
          <w:rFonts w:ascii="宋体" w:hAnsi="宋体" w:cs="宋体"/>
        </w:rPr>
      </w:pPr>
      <w:r>
        <w:rPr>
          <w:rFonts w:ascii="宋体" w:hAnsi="宋体" w:cs="宋体"/>
        </w:rPr>
        <w:t>1</w:t>
      </w:r>
      <w:r>
        <w:rPr>
          <w:rFonts w:hint="eastAsia" w:ascii="宋体" w:hAnsi="宋体" w:cs="宋体"/>
        </w:rPr>
        <w:t>）质疑人的名称、地址、电话及联系人（法人授权代表）等；</w:t>
      </w:r>
    </w:p>
    <w:p>
      <w:pPr>
        <w:spacing w:line="360" w:lineRule="auto"/>
        <w:rPr>
          <w:rFonts w:ascii="宋体" w:hAnsi="宋体" w:cs="宋体"/>
        </w:rPr>
      </w:pPr>
      <w:r>
        <w:rPr>
          <w:rFonts w:ascii="宋体" w:hAnsi="宋体" w:cs="宋体"/>
        </w:rPr>
        <w:t>2</w:t>
      </w:r>
      <w:r>
        <w:rPr>
          <w:rFonts w:hint="eastAsia" w:ascii="宋体" w:hAnsi="宋体" w:cs="宋体"/>
        </w:rPr>
        <w:t>）质疑人法人签章和单位公章；</w:t>
      </w:r>
    </w:p>
    <w:p>
      <w:pPr>
        <w:spacing w:line="360" w:lineRule="auto"/>
        <w:rPr>
          <w:rFonts w:ascii="宋体" w:hAnsi="宋体" w:cs="宋体"/>
        </w:rPr>
      </w:pPr>
      <w:r>
        <w:rPr>
          <w:rFonts w:ascii="宋体" w:hAnsi="宋体" w:cs="宋体"/>
        </w:rPr>
        <w:t>3</w:t>
      </w:r>
      <w:r>
        <w:rPr>
          <w:rFonts w:hint="eastAsia" w:ascii="宋体" w:hAnsi="宋体" w:cs="宋体"/>
        </w:rPr>
        <w:t>）具体的质疑事项及事实依据；</w:t>
      </w:r>
    </w:p>
    <w:p>
      <w:pPr>
        <w:spacing w:line="360" w:lineRule="auto"/>
        <w:rPr>
          <w:rFonts w:ascii="宋体" w:hAnsi="宋体" w:cs="宋体"/>
        </w:rPr>
      </w:pPr>
      <w:r>
        <w:rPr>
          <w:rFonts w:ascii="宋体" w:hAnsi="宋体" w:cs="宋体"/>
        </w:rPr>
        <w:t>4</w:t>
      </w:r>
      <w:r>
        <w:rPr>
          <w:rFonts w:hint="eastAsia" w:ascii="宋体" w:hAnsi="宋体" w:cs="宋体"/>
        </w:rPr>
        <w:t>）明确的请求和必要的证明材料；</w:t>
      </w:r>
    </w:p>
    <w:p>
      <w:pPr>
        <w:spacing w:line="360" w:lineRule="auto"/>
        <w:rPr>
          <w:rFonts w:ascii="宋体" w:hAnsi="宋体" w:cs="宋体"/>
        </w:rPr>
      </w:pPr>
      <w:r>
        <w:rPr>
          <w:rFonts w:ascii="宋体" w:hAnsi="宋体" w:cs="宋体"/>
        </w:rPr>
        <w:t>5</w:t>
      </w:r>
      <w:r>
        <w:rPr>
          <w:rFonts w:hint="eastAsia" w:ascii="宋体" w:hAnsi="宋体" w:cs="宋体"/>
        </w:rPr>
        <w:t>）以联合体形式参与竞争性磋商的，则必须联合体各方共同签署、盖章；</w:t>
      </w:r>
    </w:p>
    <w:p>
      <w:pPr>
        <w:spacing w:line="360" w:lineRule="auto"/>
        <w:rPr>
          <w:rFonts w:ascii="宋体" w:hAnsi="宋体" w:cs="宋体"/>
        </w:rPr>
      </w:pPr>
      <w:r>
        <w:rPr>
          <w:rFonts w:ascii="宋体" w:hAnsi="宋体" w:cs="宋体"/>
        </w:rPr>
        <w:t>6</w:t>
      </w:r>
      <w:r>
        <w:rPr>
          <w:rFonts w:hint="eastAsia" w:ascii="宋体" w:hAnsi="宋体" w:cs="宋体"/>
        </w:rPr>
        <w:t>）提起质疑的日期。</w:t>
      </w:r>
    </w:p>
    <w:p>
      <w:pPr>
        <w:spacing w:line="360" w:lineRule="auto"/>
        <w:outlineLvl w:val="1"/>
        <w:rPr>
          <w:rFonts w:ascii="宋体" w:hAnsi="宋体" w:cs="宋体"/>
          <w:bCs/>
        </w:rPr>
      </w:pPr>
      <w:r>
        <w:rPr>
          <w:rFonts w:hint="eastAsia" w:ascii="宋体" w:hAnsi="宋体" w:cs="宋体"/>
          <w:bCs/>
        </w:rPr>
        <w:t>十、签订合同</w:t>
      </w:r>
    </w:p>
    <w:p>
      <w:pPr>
        <w:adjustRightInd w:val="0"/>
        <w:snapToGrid w:val="0"/>
        <w:spacing w:line="360" w:lineRule="auto"/>
        <w:rPr>
          <w:rFonts w:ascii="宋体" w:hAnsi="宋体" w:cs="宋体"/>
          <w:bCs/>
        </w:rPr>
      </w:pPr>
      <w:r>
        <w:rPr>
          <w:rFonts w:ascii="宋体" w:hAnsi="宋体" w:cs="宋体"/>
          <w:bCs/>
        </w:rPr>
        <w:t>31.</w:t>
      </w:r>
      <w:r>
        <w:rPr>
          <w:rFonts w:hint="eastAsia" w:ascii="宋体" w:hAnsi="宋体" w:cs="宋体"/>
          <w:b/>
          <w:color w:val="FF0000"/>
        </w:rPr>
        <w:t>签订合同要求：</w:t>
      </w:r>
      <w:r>
        <w:rPr>
          <w:rFonts w:hint="eastAsia" w:ascii="宋体" w:hAnsi="宋体" w:cs="宋体"/>
          <w:b/>
          <w:bCs/>
          <w:color w:val="FF0000"/>
        </w:rPr>
        <w:t>在《中标通知书》发出之</w:t>
      </w:r>
      <w:r>
        <w:rPr>
          <w:rFonts w:hint="eastAsia" w:ascii="宋体" w:hAnsi="宋体" w:cs="宋体"/>
          <w:b/>
          <w:bCs/>
          <w:color w:val="FF0000"/>
          <w:u w:val="single"/>
        </w:rPr>
        <w:t>2日内或按照采购人要求</w:t>
      </w:r>
      <w:r>
        <w:rPr>
          <w:rFonts w:hint="eastAsia" w:ascii="宋体" w:hAnsi="宋体" w:cs="宋体"/>
          <w:b/>
          <w:bCs/>
          <w:color w:val="FF0000"/>
        </w:rPr>
        <w:t>与采购人协商签订采购合同，否则作为自动放弃中标资格。</w:t>
      </w:r>
    </w:p>
    <w:p>
      <w:pPr>
        <w:spacing w:line="360" w:lineRule="auto"/>
        <w:outlineLvl w:val="1"/>
        <w:rPr>
          <w:rFonts w:ascii="宋体" w:hAnsi="宋体" w:cs="宋体"/>
        </w:rPr>
      </w:pPr>
      <w:r>
        <w:rPr>
          <w:rFonts w:hint="eastAsia" w:ascii="宋体" w:hAnsi="宋体" w:cs="宋体"/>
        </w:rPr>
        <w:t>十一、付款及结算办法</w:t>
      </w:r>
    </w:p>
    <w:p>
      <w:pPr>
        <w:adjustRightInd w:val="0"/>
        <w:snapToGrid w:val="0"/>
        <w:spacing w:line="360" w:lineRule="auto"/>
        <w:rPr>
          <w:rFonts w:ascii="宋体" w:hAnsi="宋体" w:cs="宋体"/>
          <w:b/>
          <w:bCs/>
          <w:color w:val="FF0000"/>
        </w:rPr>
      </w:pPr>
      <w:r>
        <w:rPr>
          <w:rFonts w:ascii="宋体" w:hAnsi="宋体" w:cs="宋体"/>
          <w:b/>
          <w:color w:val="FF0000"/>
        </w:rPr>
        <w:t>32.</w:t>
      </w:r>
      <w:r>
        <w:rPr>
          <w:rFonts w:hint="eastAsia" w:ascii="宋体" w:hAnsi="宋体" w:cs="宋体"/>
          <w:b/>
          <w:color w:val="FF0000"/>
        </w:rPr>
        <w:t xml:space="preserve"> </w:t>
      </w:r>
      <w:r>
        <w:rPr>
          <w:rFonts w:hint="eastAsia" w:ascii="宋体" w:hAnsi="宋体" w:cs="宋体"/>
          <w:b/>
          <w:bCs/>
          <w:color w:val="FF0000"/>
        </w:rPr>
        <w:t>项目完工经验收（包含采购人验收和相关管理部门验收）合格后十个工作日内支付合同价款70%，经第三方结算审计完成后，在十个工作日内支付至结算审计结果的97%，按照结算审计结果的3%</w:t>
      </w:r>
      <w:r>
        <w:rPr>
          <w:rFonts w:hint="eastAsia" w:ascii="宋体" w:hAnsi="宋体" w:cs="宋体"/>
          <w:b/>
          <w:color w:val="FF0000"/>
        </w:rPr>
        <w:t>预留质保金，待缺陷责任期满后</w:t>
      </w:r>
      <w:r>
        <w:rPr>
          <w:rFonts w:hint="eastAsia" w:ascii="宋体" w:hAnsi="宋体" w:cs="宋体"/>
          <w:b/>
          <w:bCs/>
          <w:color w:val="FF0000"/>
        </w:rPr>
        <w:t>支付。</w:t>
      </w:r>
    </w:p>
    <w:p>
      <w:pPr>
        <w:adjustRightInd w:val="0"/>
        <w:snapToGrid w:val="0"/>
        <w:spacing w:line="360" w:lineRule="auto"/>
        <w:rPr>
          <w:rFonts w:ascii="宋体" w:hAnsi="宋体" w:cs="宋体"/>
          <w:b/>
          <w:bCs/>
          <w:color w:val="FF0000"/>
        </w:rPr>
      </w:pPr>
      <w:r>
        <w:rPr>
          <w:rFonts w:hint="eastAsia" w:ascii="宋体" w:hAnsi="宋体" w:cs="宋体"/>
          <w:b/>
          <w:bCs/>
          <w:color w:val="FF0000"/>
        </w:rPr>
        <w:t xml:space="preserve">33. </w:t>
      </w:r>
      <w:r>
        <w:rPr>
          <w:rFonts w:hint="eastAsia" w:ascii="宋体" w:hAnsi="宋体"/>
          <w:b/>
          <w:color w:val="FF0000"/>
        </w:rPr>
        <w:t>成交供应商</w:t>
      </w:r>
      <w:r>
        <w:rPr>
          <w:rFonts w:hint="eastAsia" w:ascii="宋体" w:hAnsi="宋体" w:cs="宋体"/>
          <w:b/>
          <w:bCs/>
          <w:color w:val="FF0000"/>
        </w:rPr>
        <w:t>提交项目结算审计的期限：</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(1) 项目经竣工验收合格之日起十个工作日内，</w:t>
      </w:r>
      <w:r>
        <w:rPr>
          <w:rFonts w:hint="eastAsia" w:ascii="宋体" w:hAnsi="宋体"/>
          <w:b/>
          <w:color w:val="FF0000"/>
        </w:rPr>
        <w:t>成交供应商</w:t>
      </w:r>
      <w:r>
        <w:rPr>
          <w:rFonts w:hint="eastAsia" w:ascii="宋体" w:hAnsi="宋体" w:cs="宋体"/>
          <w:b/>
          <w:bCs/>
          <w:color w:val="FF0000"/>
        </w:rPr>
        <w:t>应据实提交完整的竣工结算资料及结算书（含竣工图、竣工验收资料、施工合同及投标文件等）。</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 xml:space="preserve">(2) </w:t>
      </w:r>
      <w:r>
        <w:rPr>
          <w:rFonts w:hint="eastAsia" w:ascii="宋体" w:hAnsi="宋体"/>
          <w:b/>
          <w:color w:val="FF0000"/>
        </w:rPr>
        <w:t>成交供应商</w:t>
      </w:r>
      <w:r>
        <w:rPr>
          <w:rFonts w:hint="eastAsia" w:ascii="宋体" w:hAnsi="宋体" w:cs="宋体"/>
          <w:b/>
          <w:bCs/>
          <w:color w:val="FF0000"/>
        </w:rPr>
        <w:t>未在规定的时间内提交竣工结算文件，采购人有权根据已有资料编制竣工结算文件，作为办理竣工结算和支付结算款的依据，</w:t>
      </w:r>
      <w:r>
        <w:rPr>
          <w:rFonts w:hint="eastAsia" w:ascii="宋体" w:hAnsi="宋体"/>
          <w:b/>
          <w:color w:val="FF0000"/>
        </w:rPr>
        <w:t>成交供应商</w:t>
      </w:r>
      <w:r>
        <w:rPr>
          <w:rFonts w:hint="eastAsia" w:ascii="宋体" w:hAnsi="宋体" w:cs="宋体"/>
          <w:b/>
          <w:bCs/>
          <w:color w:val="FF0000"/>
        </w:rPr>
        <w:t>应予以认可。</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(3)项目最终结算金额以采购人委托第三方项目竣工结算审计单位审定金额为准。</w:t>
      </w:r>
    </w:p>
    <w:p>
      <w:pPr>
        <w:adjustRightInd w:val="0"/>
        <w:snapToGrid w:val="0"/>
        <w:spacing w:line="360" w:lineRule="auto"/>
        <w:rPr>
          <w:rFonts w:ascii="宋体" w:hAnsi="宋体"/>
          <w:b/>
          <w:color w:val="FF0000"/>
        </w:rPr>
      </w:pPr>
      <w:r>
        <w:rPr>
          <w:rFonts w:hint="eastAsia" w:ascii="宋体" w:hAnsi="宋体"/>
          <w:b/>
          <w:color w:val="FF0000"/>
        </w:rPr>
        <w:t>34. 逾期处罚：</w:t>
      </w:r>
      <w:r>
        <w:rPr>
          <w:rFonts w:hint="eastAsia" w:ascii="宋体" w:hAnsi="宋体" w:cs="宋体"/>
          <w:b/>
          <w:bCs/>
          <w:color w:val="FF0000"/>
        </w:rPr>
        <w:t>合同期限为</w:t>
      </w:r>
      <w:r>
        <w:rPr>
          <w:rFonts w:hint="eastAsia" w:ascii="宋体" w:hAnsi="宋体" w:cs="宋体"/>
          <w:b/>
          <w:bCs/>
          <w:color w:val="FF0000"/>
          <w:u w:val="single"/>
        </w:rPr>
        <w:t>25</w:t>
      </w:r>
      <w:r>
        <w:rPr>
          <w:rFonts w:hint="eastAsia" w:ascii="宋体" w:hAnsi="宋体" w:cs="宋体"/>
          <w:b/>
          <w:bCs/>
          <w:color w:val="FF0000"/>
        </w:rPr>
        <w:t>个日历天，每逾期一天，采购人有权直接扣减工程款贰万元，并进行累加。</w:t>
      </w:r>
    </w:p>
    <w:p>
      <w:pPr>
        <w:spacing w:line="360" w:lineRule="auto"/>
        <w:jc w:val="left"/>
        <w:rPr>
          <w:rFonts w:ascii="宋体" w:hAnsi="宋体" w:cs="宋体"/>
        </w:rPr>
      </w:pPr>
      <w:r>
        <w:rPr>
          <w:rFonts w:hint="eastAsia" w:ascii="宋体" w:hAnsi="宋体" w:cs="宋体"/>
          <w:bCs/>
        </w:rPr>
        <w:t>十二、</w:t>
      </w:r>
      <w:r>
        <w:rPr>
          <w:rFonts w:hint="eastAsia" w:ascii="宋体" w:hAnsi="宋体" w:cs="宋体"/>
        </w:rPr>
        <w:t>质量及保修要求</w:t>
      </w:r>
    </w:p>
    <w:p>
      <w:pPr>
        <w:spacing w:line="360" w:lineRule="auto"/>
        <w:jc w:val="left"/>
        <w:rPr>
          <w:rFonts w:ascii="宋体" w:hAnsi="宋体" w:cs="宋体"/>
        </w:rPr>
      </w:pPr>
      <w:r>
        <w:rPr>
          <w:rFonts w:hint="eastAsia" w:ascii="宋体" w:hAnsi="宋体" w:cs="宋体"/>
        </w:rPr>
        <w:t>35.质量要求：合格。</w:t>
      </w:r>
    </w:p>
    <w:p>
      <w:pPr>
        <w:spacing w:line="360" w:lineRule="auto"/>
        <w:rPr>
          <w:rFonts w:ascii="宋体" w:hAnsi="宋体" w:cs="宋体"/>
          <w:sz w:val="24"/>
          <w:szCs w:val="24"/>
        </w:rPr>
      </w:pPr>
      <w:r>
        <w:rPr>
          <w:rFonts w:hint="eastAsia" w:ascii="宋体" w:hAnsi="宋体"/>
        </w:rPr>
        <w:t>36.</w:t>
      </w:r>
      <w:r>
        <w:rPr>
          <w:rFonts w:hint="eastAsia" w:ascii="宋体" w:hAnsi="宋体"/>
          <w:b/>
          <w:color w:val="FF0000"/>
        </w:rPr>
        <w:t>质保期：从竣工验收签发日起两年（</w:t>
      </w:r>
      <w:r>
        <w:rPr>
          <w:rFonts w:hint="eastAsia" w:ascii="宋体" w:hAnsi="宋体" w:cs="宋体"/>
          <w:b/>
          <w:color w:val="FF0000"/>
        </w:rPr>
        <w:t>成交供应商应按法律法规、行政法规和国家关于工程质量保修的有关规定，对交付采购方的工程在质量保修期按有关质保期限规定执行，并提供承诺书</w:t>
      </w:r>
      <w:r>
        <w:rPr>
          <w:rFonts w:hint="eastAsia" w:ascii="宋体" w:hAnsi="宋体"/>
          <w:b/>
          <w:color w:val="FF0000"/>
        </w:rPr>
        <w:t>）</w:t>
      </w:r>
      <w:r>
        <w:rPr>
          <w:rFonts w:hint="eastAsia" w:ascii="宋体" w:hAnsi="宋体" w:cs="宋体"/>
          <w:b/>
          <w:color w:val="FF0000"/>
        </w:rPr>
        <w:t>。</w:t>
      </w:r>
    </w:p>
    <w:p>
      <w:pPr>
        <w:spacing w:line="360" w:lineRule="auto"/>
        <w:jc w:val="left"/>
        <w:rPr>
          <w:rFonts w:ascii="宋体" w:hAnsi="宋体"/>
          <w:b/>
          <w:color w:val="FF0000"/>
        </w:rPr>
      </w:pPr>
      <w:r>
        <w:rPr>
          <w:rFonts w:hint="eastAsia" w:ascii="宋体" w:hAnsi="宋体" w:cs="宋体"/>
        </w:rPr>
        <w:t>37.</w:t>
      </w:r>
      <w:r>
        <w:rPr>
          <w:rFonts w:hint="eastAsia" w:ascii="宋体" w:hAnsi="宋体"/>
          <w:b/>
          <w:color w:val="FF0000"/>
        </w:rPr>
        <w:t>质保期内,采购人提出工程质量问题，成交供应商必须在24小时内响应回复采购人，并于5天内完成工程维修工作；若维修工作5天内难以完成，必须把相关工程质量维修工作的详细情况书面告之采购人，对维修时间进行承诺，并获得采购人书面同意；若成交供应商不积极响应或者未承诺维修期限，采购人有权另行委托其他单位维修，相关费用从成交供应商质保金中扣除。（投标供应商必须提供相关承诺，否则作为无效投标处理）</w:t>
      </w:r>
    </w:p>
    <w:p>
      <w:pPr>
        <w:spacing w:line="360" w:lineRule="auto"/>
        <w:jc w:val="left"/>
        <w:rPr>
          <w:rFonts w:ascii="宋体" w:hAnsi="宋体" w:cs="宋体"/>
        </w:rPr>
      </w:pPr>
      <w:r>
        <w:rPr>
          <w:rFonts w:hint="eastAsia" w:ascii="宋体" w:hAnsi="宋体" w:cs="宋体"/>
        </w:rPr>
        <w:t>38.成交供应商必须按照质量操作和验收规范进行施工，确保工程分项及整体验收达到承诺要求及国家有关质量标准，并提供承诺书。</w:t>
      </w:r>
    </w:p>
    <w:p>
      <w:pPr>
        <w:spacing w:line="360" w:lineRule="auto"/>
        <w:outlineLvl w:val="1"/>
        <w:rPr>
          <w:rFonts w:ascii="宋体" w:hAnsi="宋体" w:cs="宋体"/>
          <w:bCs/>
        </w:rPr>
      </w:pPr>
      <w:r>
        <w:rPr>
          <w:rFonts w:hint="eastAsia" w:ascii="宋体" w:hAnsi="宋体" w:cs="宋体"/>
          <w:bCs/>
        </w:rPr>
        <w:t>十三、适用法律</w:t>
      </w:r>
    </w:p>
    <w:p>
      <w:pPr>
        <w:adjustRightInd w:val="0"/>
        <w:snapToGrid w:val="0"/>
        <w:spacing w:line="360" w:lineRule="auto"/>
        <w:rPr>
          <w:rFonts w:ascii="宋体" w:hAnsi="宋体"/>
          <w:b/>
        </w:rPr>
      </w:pPr>
      <w:r>
        <w:rPr>
          <w:rFonts w:ascii="宋体" w:hAnsi="宋体" w:cs="宋体"/>
          <w:bCs/>
        </w:rPr>
        <w:t>3</w:t>
      </w:r>
      <w:r>
        <w:rPr>
          <w:rFonts w:hint="eastAsia" w:ascii="宋体" w:hAnsi="宋体" w:cs="宋体"/>
          <w:bCs/>
        </w:rPr>
        <w:t>9</w:t>
      </w:r>
      <w:r>
        <w:rPr>
          <w:rFonts w:ascii="宋体" w:hAnsi="宋体" w:cs="宋体"/>
          <w:bCs/>
        </w:rPr>
        <w:t>.</w:t>
      </w:r>
      <w:r>
        <w:rPr>
          <w:rFonts w:hint="eastAsia" w:ascii="宋体" w:hAnsi="宋体" w:cs="宋体"/>
          <w:bCs/>
        </w:rPr>
        <w:t>采购当事人的一切活动均适用于《中华人民共和国政府采购法》、《中华人民共和国政府采购法实施条例》、《政府采购非招标采购方式管理办法》及相关法规。</w:t>
      </w:r>
    </w:p>
    <w:p>
      <w:pPr>
        <w:rPr>
          <w:rFonts w:ascii="宋体" w:hAnsi="宋体"/>
        </w:rPr>
      </w:pPr>
      <w:bookmarkStart w:id="7" w:name="_Toc488324272"/>
    </w:p>
    <w:p>
      <w:pPr>
        <w:spacing w:line="500" w:lineRule="exact"/>
        <w:jc w:val="center"/>
        <w:outlineLvl w:val="0"/>
        <w:rPr>
          <w:rFonts w:ascii="Times New Roman" w:hAnsi="Times New Roman"/>
          <w:b/>
          <w:bCs/>
          <w:sz w:val="36"/>
          <w:szCs w:val="36"/>
        </w:rPr>
      </w:pPr>
      <w:r>
        <w:rPr>
          <w:rFonts w:ascii="Times New Roman" w:hAnsi="Times New Roman"/>
          <w:b/>
          <w:bCs/>
          <w:sz w:val="36"/>
          <w:szCs w:val="36"/>
        </w:rPr>
        <w:br w:type="page"/>
      </w:r>
      <w:r>
        <w:rPr>
          <w:rFonts w:hint="eastAsia" w:ascii="Times New Roman" w:hAnsi="Times New Roman"/>
          <w:b/>
          <w:bCs/>
          <w:sz w:val="36"/>
          <w:szCs w:val="36"/>
        </w:rPr>
        <w:t>第三章</w:t>
      </w:r>
      <w:bookmarkEnd w:id="7"/>
      <w:r>
        <w:rPr>
          <w:rFonts w:hint="eastAsia" w:ascii="Times New Roman" w:hAnsi="Times New Roman"/>
          <w:b/>
          <w:bCs/>
          <w:sz w:val="36"/>
          <w:szCs w:val="36"/>
        </w:rPr>
        <w:t>采购内容及要求</w:t>
      </w:r>
    </w:p>
    <w:p>
      <w:pPr>
        <w:spacing w:line="500" w:lineRule="exact"/>
        <w:jc w:val="center"/>
        <w:outlineLvl w:val="0"/>
        <w:rPr>
          <w:rFonts w:ascii="Times New Roman" w:hAnsi="Times New Roman"/>
          <w:b/>
          <w:bCs/>
          <w:sz w:val="36"/>
          <w:szCs w:val="36"/>
        </w:rPr>
      </w:pPr>
    </w:p>
    <w:p>
      <w:pPr>
        <w:pStyle w:val="3"/>
        <w:numPr>
          <w:ilvl w:val="1"/>
          <w:numId w:val="1"/>
        </w:numPr>
        <w:spacing w:line="360" w:lineRule="auto"/>
        <w:ind w:left="540" w:hanging="540"/>
        <w:rPr>
          <w:rFonts w:ascii="宋体" w:hAnsi="宋体"/>
          <w:sz w:val="21"/>
          <w:szCs w:val="21"/>
        </w:rPr>
      </w:pPr>
      <w:bookmarkStart w:id="8" w:name="_Toc488324273"/>
      <w:bookmarkStart w:id="9" w:name="_Toc423417721"/>
      <w:bookmarkStart w:id="10" w:name="_Toc358447572"/>
      <w:r>
        <w:rPr>
          <w:rFonts w:hint="eastAsia" w:ascii="宋体" w:hAnsi="宋体"/>
          <w:sz w:val="21"/>
          <w:szCs w:val="21"/>
        </w:rPr>
        <w:t>项目概况</w:t>
      </w:r>
      <w:bookmarkEnd w:id="8"/>
      <w:bookmarkEnd w:id="9"/>
      <w:bookmarkEnd w:id="10"/>
    </w:p>
    <w:p>
      <w:pPr>
        <w:tabs>
          <w:tab w:val="left" w:pos="840"/>
        </w:tabs>
        <w:spacing w:line="360" w:lineRule="auto"/>
        <w:ind w:firstLine="420" w:firstLineChars="200"/>
        <w:rPr>
          <w:rFonts w:ascii="宋体" w:hAnsi="宋体"/>
          <w:lang w:val="zh-CN"/>
        </w:rPr>
      </w:pPr>
      <w:r>
        <w:rPr>
          <w:rFonts w:hint="eastAsia" w:ascii="宋体" w:hAnsi="宋体" w:cs="方正小标宋简体"/>
          <w:bCs/>
          <w:u w:val="single"/>
        </w:rPr>
        <w:t>1、</w:t>
      </w:r>
      <w:r>
        <w:rPr>
          <w:rFonts w:hint="eastAsia" w:ascii="宋体" w:hAnsi="宋体" w:cs="方正小标宋简体"/>
          <w:bCs/>
          <w:u w:val="single"/>
          <w:lang w:eastAsia="zh-CN"/>
        </w:rPr>
        <w:t>金安集团机关办公室装饰装修工程</w:t>
      </w:r>
      <w:r>
        <w:rPr>
          <w:rFonts w:hint="eastAsia" w:ascii="宋体" w:hAnsi="宋体"/>
        </w:rPr>
        <w:t>，</w:t>
      </w:r>
      <w:r>
        <w:rPr>
          <w:rFonts w:hint="eastAsia" w:ascii="宋体" w:hAnsi="宋体"/>
          <w:lang w:val="zh-CN"/>
        </w:rPr>
        <w:t>具体施工内容为本竞争性磋商文件附件中所包含所有内容。</w:t>
      </w:r>
    </w:p>
    <w:p>
      <w:pPr>
        <w:tabs>
          <w:tab w:val="left" w:pos="840"/>
        </w:tabs>
        <w:spacing w:line="360" w:lineRule="auto"/>
        <w:ind w:firstLine="420" w:firstLineChars="200"/>
        <w:rPr>
          <w:rFonts w:ascii="宋体" w:hAnsi="宋体"/>
        </w:rPr>
      </w:pPr>
      <w:r>
        <w:rPr>
          <w:rFonts w:hint="eastAsia" w:ascii="宋体" w:hAnsi="宋体"/>
        </w:rPr>
        <w:t>2、工程量以本竞争性磋商文件附件《工程量清单》为准。</w:t>
      </w:r>
    </w:p>
    <w:p>
      <w:pPr>
        <w:spacing w:line="360" w:lineRule="auto"/>
        <w:ind w:firstLine="420" w:firstLineChars="200"/>
        <w:rPr>
          <w:rFonts w:ascii="宋体" w:hAnsi="宋体"/>
        </w:rPr>
      </w:pPr>
      <w:r>
        <w:rPr>
          <w:rFonts w:hint="eastAsia" w:ascii="宋体" w:hAnsi="宋体"/>
        </w:rPr>
        <w:t>3、响应供应商报价不得超过响应供应商须知前附表公布的控制价，否则将导致响应无效。</w:t>
      </w:r>
    </w:p>
    <w:p>
      <w:pPr>
        <w:pStyle w:val="3"/>
        <w:numPr>
          <w:ilvl w:val="1"/>
          <w:numId w:val="1"/>
        </w:numPr>
        <w:spacing w:line="360" w:lineRule="auto"/>
        <w:ind w:left="540" w:hanging="540"/>
        <w:rPr>
          <w:rFonts w:ascii="宋体" w:hAnsi="宋体"/>
          <w:sz w:val="21"/>
          <w:szCs w:val="21"/>
        </w:rPr>
      </w:pPr>
      <w:bookmarkStart w:id="11" w:name="_Toc423417722"/>
      <w:bookmarkStart w:id="12" w:name="_Toc358447573"/>
      <w:bookmarkStart w:id="13" w:name="_Toc488324274"/>
      <w:r>
        <w:rPr>
          <w:rFonts w:hint="eastAsia" w:ascii="宋体" w:hAnsi="宋体"/>
          <w:sz w:val="21"/>
          <w:szCs w:val="21"/>
        </w:rPr>
        <w:t>技术要求</w:t>
      </w:r>
      <w:bookmarkEnd w:id="11"/>
      <w:bookmarkEnd w:id="12"/>
      <w:bookmarkEnd w:id="13"/>
    </w:p>
    <w:p>
      <w:pPr>
        <w:spacing w:line="360" w:lineRule="auto"/>
        <w:ind w:firstLine="420" w:firstLineChars="200"/>
        <w:rPr>
          <w:rFonts w:ascii="宋体" w:hAnsi="宋体"/>
        </w:rPr>
      </w:pPr>
      <w:r>
        <w:rPr>
          <w:rFonts w:ascii="宋体" w:hAnsi="宋体"/>
        </w:rPr>
        <w:t>1</w:t>
      </w:r>
      <w:r>
        <w:rPr>
          <w:rFonts w:hint="eastAsia" w:ascii="宋体" w:hAnsi="宋体"/>
        </w:rPr>
        <w:t>、</w:t>
      </w:r>
      <w:r>
        <w:rPr>
          <w:rFonts w:hint="eastAsia" w:ascii="宋体" w:hAnsi="宋体" w:cs="方正小标宋简体"/>
          <w:bCs/>
          <w:u w:val="single"/>
          <w:lang w:eastAsia="zh-CN"/>
        </w:rPr>
        <w:t>金安集团机关办公室装饰装修工程</w:t>
      </w:r>
      <w:r>
        <w:rPr>
          <w:rFonts w:hint="eastAsia" w:ascii="宋体" w:hAnsi="宋体"/>
        </w:rPr>
        <w:t>，具体施工内容为本竞争性磋商文件附件中所包含所有内容。工程量以本竞争性磋商文件附件《工程量清单》为准。</w:t>
      </w:r>
    </w:p>
    <w:p>
      <w:pPr>
        <w:spacing w:line="360" w:lineRule="auto"/>
        <w:ind w:firstLine="420" w:firstLineChars="200"/>
        <w:rPr>
          <w:rFonts w:ascii="宋体" w:hAnsi="宋体"/>
        </w:rPr>
      </w:pPr>
      <w:r>
        <w:rPr>
          <w:rFonts w:ascii="宋体" w:hAnsi="宋体"/>
        </w:rPr>
        <w:t>2</w:t>
      </w:r>
      <w:r>
        <w:rPr>
          <w:rFonts w:hint="eastAsia" w:ascii="宋体" w:hAnsi="宋体"/>
        </w:rPr>
        <w:t>、供应商应在响应文件中按照本文件要求及发出的清单及现场考察情况进行清单报价。</w:t>
      </w:r>
    </w:p>
    <w:p>
      <w:pPr>
        <w:spacing w:line="360" w:lineRule="auto"/>
        <w:ind w:firstLine="420" w:firstLineChars="200"/>
        <w:rPr>
          <w:rFonts w:ascii="宋体" w:hAnsi="宋体"/>
        </w:rPr>
      </w:pPr>
      <w:r>
        <w:rPr>
          <w:rFonts w:ascii="宋体" w:hAnsi="宋体"/>
        </w:rPr>
        <w:t>3</w:t>
      </w:r>
      <w:r>
        <w:rPr>
          <w:rFonts w:hint="eastAsia" w:ascii="宋体" w:hAnsi="宋体"/>
        </w:rPr>
        <w:t>、质量等级目标、安全生产管理目标、文明施工管理目标：合格。</w:t>
      </w:r>
    </w:p>
    <w:p>
      <w:pPr>
        <w:spacing w:line="360" w:lineRule="auto"/>
        <w:ind w:firstLine="420" w:firstLineChars="200"/>
        <w:rPr>
          <w:rFonts w:ascii="宋体" w:hAnsi="宋体"/>
        </w:rPr>
      </w:pPr>
      <w:r>
        <w:rPr>
          <w:rFonts w:hint="eastAsia" w:ascii="宋体" w:hAnsi="宋体"/>
        </w:rPr>
        <w:t>各响应供应商须在响应文件中对质量等级目标、安全生产管理目标、文明施工管理目标进行承诺。</w:t>
      </w:r>
    </w:p>
    <w:p>
      <w:pPr>
        <w:tabs>
          <w:tab w:val="left" w:pos="1650"/>
        </w:tabs>
        <w:spacing w:line="360" w:lineRule="auto"/>
        <w:ind w:firstLine="420" w:firstLineChars="200"/>
        <w:rPr>
          <w:rFonts w:ascii="宋体" w:hAnsi="宋体"/>
        </w:rPr>
      </w:pPr>
      <w:r>
        <w:rPr>
          <w:rFonts w:ascii="宋体" w:hAnsi="宋体"/>
        </w:rPr>
        <w:t>4</w:t>
      </w:r>
      <w:r>
        <w:rPr>
          <w:rFonts w:hint="eastAsia" w:ascii="宋体" w:hAnsi="宋体"/>
        </w:rPr>
        <w:t>、各响应供应商须在响应文件中对拟投入本项目的项目经理进行如下承诺：</w:t>
      </w:r>
    </w:p>
    <w:p>
      <w:pPr>
        <w:tabs>
          <w:tab w:val="left" w:pos="1650"/>
        </w:tabs>
        <w:spacing w:line="360" w:lineRule="auto"/>
        <w:ind w:firstLine="420" w:firstLineChars="200"/>
        <w:rPr>
          <w:rFonts w:ascii="宋体" w:hAnsi="宋体"/>
        </w:rPr>
      </w:pPr>
      <w:r>
        <w:rPr>
          <w:rFonts w:hint="eastAsia" w:ascii="宋体" w:hAnsi="宋体"/>
        </w:rPr>
        <w:t>4.1、承诺拟投入本项目的项目经理响应文件与实际进场项目经理为同一人，中途不得更换；</w:t>
      </w:r>
    </w:p>
    <w:p>
      <w:pPr>
        <w:tabs>
          <w:tab w:val="left" w:pos="1650"/>
        </w:tabs>
        <w:spacing w:line="360" w:lineRule="auto"/>
        <w:ind w:firstLine="420" w:firstLineChars="200"/>
        <w:rPr>
          <w:rFonts w:ascii="宋体" w:hAnsi="宋体"/>
        </w:rPr>
      </w:pPr>
      <w:r>
        <w:rPr>
          <w:rFonts w:hint="eastAsia" w:ascii="宋体" w:hAnsi="宋体"/>
        </w:rPr>
        <w:t>4.2、在本工程实施期间项目经理常驻现场，并不在其他项目中担任任何职务；</w:t>
      </w:r>
    </w:p>
    <w:p>
      <w:pPr>
        <w:tabs>
          <w:tab w:val="left" w:pos="1650"/>
        </w:tabs>
        <w:spacing w:line="360" w:lineRule="auto"/>
        <w:ind w:firstLine="420" w:firstLineChars="200"/>
        <w:rPr>
          <w:rFonts w:ascii="宋体" w:hAnsi="宋体"/>
        </w:rPr>
      </w:pPr>
      <w:r>
        <w:rPr>
          <w:rFonts w:hint="eastAsia" w:ascii="宋体" w:hAnsi="宋体"/>
        </w:rPr>
        <w:t>5、成交供应商必须在项目实施过程中做好现场的成品保护工作。各响应供应商须在响应文件中提供详细有效的相关保护措施及承诺。</w:t>
      </w:r>
    </w:p>
    <w:p>
      <w:pPr>
        <w:tabs>
          <w:tab w:val="left" w:pos="1650"/>
        </w:tabs>
        <w:spacing w:line="360" w:lineRule="auto"/>
        <w:ind w:firstLine="420" w:firstLineChars="200"/>
        <w:rPr>
          <w:rFonts w:ascii="宋体" w:hAnsi="宋体"/>
        </w:rPr>
      </w:pPr>
      <w:r>
        <w:rPr>
          <w:rFonts w:hint="eastAsia" w:ascii="宋体" w:hAnsi="宋体"/>
        </w:rPr>
        <w:t>6、成交供应商必须在项目完成后做好本项目的竣工验收资料的交接工作。</w:t>
      </w:r>
    </w:p>
    <w:p>
      <w:pPr>
        <w:pStyle w:val="3"/>
        <w:numPr>
          <w:ilvl w:val="1"/>
          <w:numId w:val="1"/>
        </w:numPr>
        <w:spacing w:line="360" w:lineRule="auto"/>
        <w:ind w:left="540" w:hanging="540"/>
        <w:rPr>
          <w:rFonts w:ascii="宋体" w:hAnsi="宋体"/>
          <w:sz w:val="21"/>
          <w:szCs w:val="21"/>
        </w:rPr>
      </w:pPr>
      <w:bookmarkStart w:id="14" w:name="_Toc488324275"/>
      <w:bookmarkStart w:id="15" w:name="_Toc423417723"/>
      <w:bookmarkStart w:id="16" w:name="_Toc358447574"/>
      <w:bookmarkStart w:id="17" w:name="_Toc290207168"/>
      <w:r>
        <w:rPr>
          <w:rFonts w:hint="eastAsia" w:ascii="宋体" w:hAnsi="宋体"/>
          <w:sz w:val="21"/>
          <w:szCs w:val="21"/>
        </w:rPr>
        <w:t>商务要求</w:t>
      </w:r>
      <w:bookmarkEnd w:id="14"/>
      <w:bookmarkEnd w:id="15"/>
      <w:bookmarkEnd w:id="16"/>
      <w:bookmarkEnd w:id="17"/>
    </w:p>
    <w:p>
      <w:pPr>
        <w:spacing w:line="360" w:lineRule="auto"/>
        <w:ind w:firstLine="420" w:firstLineChars="200"/>
        <w:rPr>
          <w:rFonts w:ascii="宋体" w:hAnsi="宋体"/>
        </w:rPr>
      </w:pPr>
      <w:r>
        <w:rPr>
          <w:rFonts w:hint="eastAsia" w:ascii="宋体" w:hAnsi="宋体"/>
        </w:rPr>
        <w:t>1、工期要求：</w:t>
      </w:r>
      <w:r>
        <w:rPr>
          <w:rFonts w:hint="eastAsia" w:ascii="宋体" w:hAnsi="宋体"/>
          <w:b/>
          <w:color w:val="FF0000"/>
          <w:u w:val="single"/>
        </w:rPr>
        <w:t>25</w:t>
      </w:r>
      <w:r>
        <w:rPr>
          <w:rFonts w:hint="eastAsia" w:ascii="宋体" w:hAnsi="宋体"/>
        </w:rPr>
        <w:t>日历天。各响应供应商须在响应文件中对工期延误的赔偿措施及赔偿限额按通用条款的要求进行承诺。</w:t>
      </w:r>
    </w:p>
    <w:p>
      <w:pPr>
        <w:spacing w:line="360" w:lineRule="auto"/>
        <w:ind w:firstLine="420" w:firstLineChars="200"/>
        <w:rPr>
          <w:rFonts w:ascii="宋体" w:hAnsi="宋体"/>
        </w:rPr>
      </w:pPr>
      <w:r>
        <w:rPr>
          <w:rFonts w:hint="eastAsia" w:ascii="宋体" w:hAnsi="宋体"/>
        </w:rPr>
        <w:t>2、</w:t>
      </w:r>
      <w:r>
        <w:rPr>
          <w:rFonts w:hint="eastAsia" w:ascii="宋体" w:hAnsi="宋体" w:cs="宋体"/>
          <w:b/>
          <w:color w:val="FF0000"/>
        </w:rPr>
        <w:t>签订合同要求：</w:t>
      </w:r>
      <w:r>
        <w:rPr>
          <w:rFonts w:hint="eastAsia" w:ascii="宋体" w:hAnsi="宋体" w:cs="宋体"/>
          <w:b/>
          <w:bCs/>
          <w:color w:val="FF0000"/>
        </w:rPr>
        <w:t>在《中标通知书》发出之</w:t>
      </w:r>
      <w:r>
        <w:rPr>
          <w:rFonts w:hint="eastAsia" w:ascii="宋体" w:hAnsi="宋体" w:cs="宋体"/>
          <w:b/>
          <w:bCs/>
          <w:color w:val="FF0000"/>
          <w:u w:val="single"/>
        </w:rPr>
        <w:t>2日内或按照采购人要求</w:t>
      </w:r>
      <w:r>
        <w:rPr>
          <w:rFonts w:hint="eastAsia" w:ascii="宋体" w:hAnsi="宋体" w:cs="宋体"/>
          <w:b/>
          <w:bCs/>
          <w:color w:val="FF0000"/>
        </w:rPr>
        <w:t>与采购人协商签订采购合同，否则作为自动放弃中标资格。</w:t>
      </w:r>
    </w:p>
    <w:p>
      <w:pPr>
        <w:spacing w:line="360" w:lineRule="auto"/>
        <w:ind w:firstLine="420" w:firstLineChars="200"/>
        <w:rPr>
          <w:rFonts w:ascii="宋体" w:hAnsi="宋体"/>
        </w:rPr>
      </w:pPr>
      <w:r>
        <w:rPr>
          <w:rFonts w:hint="eastAsia" w:ascii="宋体" w:hAnsi="宋体"/>
        </w:rPr>
        <w:t>3、施工要求：采购人有严格的规章管理制度和安全保卫措施，成交施工方必须遵守采购人的各项管理制度，包括人员、设备及材料进出管理等。</w:t>
      </w:r>
    </w:p>
    <w:p>
      <w:pPr>
        <w:spacing w:line="360" w:lineRule="auto"/>
        <w:ind w:firstLine="420" w:firstLineChars="200"/>
        <w:rPr>
          <w:rFonts w:ascii="宋体" w:hAnsi="宋体"/>
        </w:rPr>
      </w:pPr>
      <w:r>
        <w:rPr>
          <w:rFonts w:hint="eastAsia" w:ascii="宋体" w:hAnsi="宋体"/>
        </w:rPr>
        <w:t>4、如因乙方原因造成工期延误或停工</w:t>
      </w:r>
      <w:r>
        <w:rPr>
          <w:rFonts w:ascii="宋体" w:hAnsi="宋体"/>
        </w:rPr>
        <w:t>3</w:t>
      </w:r>
      <w:r>
        <w:rPr>
          <w:rFonts w:hint="eastAsia" w:ascii="宋体" w:hAnsi="宋体"/>
        </w:rPr>
        <w:t>天以上的，甲方有权终止合同，前期工程费用由乙方承担，由此造成的损失由乙方承担。</w:t>
      </w:r>
    </w:p>
    <w:p>
      <w:pPr>
        <w:spacing w:line="360" w:lineRule="auto"/>
        <w:ind w:firstLine="420" w:firstLineChars="200"/>
        <w:rPr>
          <w:rFonts w:ascii="宋体" w:hAnsi="宋体"/>
          <w:b/>
          <w:color w:val="FF0000"/>
        </w:rPr>
      </w:pPr>
      <w:r>
        <w:rPr>
          <w:rFonts w:hint="eastAsia" w:ascii="宋体" w:hAnsi="宋体"/>
        </w:rPr>
        <w:t>5、</w:t>
      </w:r>
      <w:r>
        <w:rPr>
          <w:rFonts w:hint="eastAsia" w:ascii="宋体" w:hAnsi="宋体"/>
          <w:b/>
          <w:color w:val="FF0000"/>
        </w:rPr>
        <w:t>响应供应商在投标文件的工程量清单中，主要材料和设备必须注明品牌、型号、规格，否则将导致响应无效。</w:t>
      </w:r>
    </w:p>
    <w:p>
      <w:pPr>
        <w:spacing w:line="360" w:lineRule="auto"/>
        <w:ind w:firstLine="420" w:firstLineChars="200"/>
        <w:rPr>
          <w:rFonts w:ascii="宋体" w:hAnsi="宋体"/>
        </w:rPr>
      </w:pPr>
      <w:r>
        <w:rPr>
          <w:rFonts w:hint="eastAsia" w:ascii="宋体" w:hAnsi="宋体"/>
        </w:rPr>
        <w:t>6、安全与文明施工。建筑垃圾必须投放到指定地点，每天应清运干净。施工噪音等自行合理安排，不能影响采购人日常工作。现场临时用电按照采购人要求执行。采取积极措施做好施工现场的建筑物、构筑物和设备的保护工作，如有损坏和污染，由此所造成的经济损失，由施工方负责赔偿。</w:t>
      </w:r>
    </w:p>
    <w:p>
      <w:pPr>
        <w:spacing w:line="360" w:lineRule="auto"/>
        <w:ind w:firstLine="420" w:firstLineChars="200"/>
        <w:rPr>
          <w:rFonts w:ascii="宋体" w:hAnsi="宋体"/>
        </w:rPr>
      </w:pPr>
      <w:r>
        <w:rPr>
          <w:rFonts w:hint="eastAsia" w:ascii="宋体" w:hAnsi="宋体"/>
        </w:rPr>
        <w:t>7、安全施工与工农关系：承包方必须按照国家安全施工标准执行安全施工，施工场地要实行封闭防护，并设安全标识和安全保卫人员，确保施工人员人身与财产安全，同时，全面妥善处理好周边的工农关系，并负责安全生产，否则由此造成的安全事故、误工等一切费用均由承包方负责。承包方在施工过程中发生的用水、用电等费用自行负责。(并提供相关承诺书）</w:t>
      </w:r>
    </w:p>
    <w:p>
      <w:pPr>
        <w:spacing w:line="360" w:lineRule="auto"/>
        <w:rPr>
          <w:rFonts w:ascii="宋体" w:hAnsi="宋体" w:cs="宋体"/>
          <w:b/>
        </w:rPr>
      </w:pPr>
      <w:bookmarkStart w:id="18" w:name="_Toc29761"/>
      <w:r>
        <w:rPr>
          <w:rFonts w:hint="eastAsia" w:ascii="宋体" w:hAnsi="宋体" w:cs="宋体"/>
          <w:b/>
        </w:rPr>
        <w:t>四、服务要求</w:t>
      </w:r>
    </w:p>
    <w:p>
      <w:pPr>
        <w:spacing w:line="360" w:lineRule="auto"/>
        <w:ind w:firstLine="420" w:firstLineChars="200"/>
        <w:jc w:val="left"/>
        <w:rPr>
          <w:rFonts w:ascii="宋体" w:hAnsi="宋体" w:cs="宋体"/>
        </w:rPr>
      </w:pPr>
      <w:r>
        <w:rPr>
          <w:rFonts w:hint="eastAsia" w:ascii="宋体" w:hAnsi="宋体" w:cs="宋体"/>
        </w:rPr>
        <w:t>1、本工程采用工程量清单计价方式。</w:t>
      </w:r>
    </w:p>
    <w:p>
      <w:pPr>
        <w:spacing w:line="360" w:lineRule="auto"/>
        <w:ind w:firstLine="420" w:firstLineChars="200"/>
        <w:jc w:val="left"/>
        <w:rPr>
          <w:rFonts w:ascii="宋体" w:hAnsi="宋体" w:cs="宋体"/>
        </w:rPr>
      </w:pPr>
      <w:r>
        <w:rPr>
          <w:rFonts w:hint="eastAsia" w:ascii="宋体" w:hAnsi="宋体" w:cs="宋体"/>
        </w:rPr>
        <w:t>1.1 磋商供应商的磋商总价应当与组成工程量的分部分项工程费、措施项目费、其他项目费和规费、税金的合计金额相一致。磋商供应商在磋商报价时，不能进行磋商总价优惠(或降价、让利)，磋商供应商对釆购人的任何优惠(或降价、让利)均应反映在相应项目的综合单价中。</w:t>
      </w:r>
    </w:p>
    <w:p>
      <w:pPr>
        <w:spacing w:line="360" w:lineRule="auto"/>
        <w:ind w:firstLine="420" w:firstLineChars="200"/>
        <w:jc w:val="left"/>
        <w:rPr>
          <w:rFonts w:ascii="宋体" w:hAnsi="宋体" w:cs="宋体"/>
        </w:rPr>
      </w:pPr>
      <w:r>
        <w:rPr>
          <w:rFonts w:hint="eastAsia" w:ascii="宋体" w:hAnsi="宋体" w:cs="宋体"/>
        </w:rPr>
        <w:t>1.2磋商供应商应按釆购人提供的工程量填报价格。填写的项目编码、项目名称、项目特征、计量单位、工程量必须与釆购人提供的一致。磋商供应商在磋商过程中最后报价时总价优惠的下浮率，作为工程量清单单价的下浮率，项目结算时同步下浮。</w:t>
      </w:r>
    </w:p>
    <w:p>
      <w:pPr>
        <w:spacing w:line="360" w:lineRule="auto"/>
        <w:ind w:firstLine="420" w:firstLineChars="200"/>
        <w:jc w:val="left"/>
        <w:rPr>
          <w:rFonts w:cs="宋体" w:asciiTheme="minorEastAsia" w:hAnsiTheme="minorEastAsia" w:eastAsiaTheme="minorEastAsia"/>
        </w:rPr>
      </w:pPr>
      <w:r>
        <w:rPr>
          <w:rFonts w:hint="eastAsia" w:ascii="宋体" w:hAnsi="宋体" w:cs="宋体"/>
        </w:rPr>
        <w:t>1.3磋商供应商在磋商过程中最后报价时总价优惠的下浮率，作为工程量清单单价的下浮</w:t>
      </w:r>
      <w:r>
        <w:rPr>
          <w:rFonts w:hint="eastAsia" w:cs="宋体" w:asciiTheme="minorEastAsia" w:hAnsiTheme="minorEastAsia" w:eastAsiaTheme="minorEastAsia"/>
        </w:rPr>
        <w:t>率，项目结算时同步下浮。</w:t>
      </w:r>
    </w:p>
    <w:p>
      <w:pPr>
        <w:spacing w:line="360" w:lineRule="auto"/>
        <w:ind w:firstLine="420" w:firstLineChars="200"/>
        <w:jc w:val="left"/>
        <w:rPr>
          <w:rFonts w:cs="宋体" w:asciiTheme="minorEastAsia" w:hAnsiTheme="minorEastAsia" w:eastAsiaTheme="minorEastAsia"/>
        </w:rPr>
      </w:pPr>
      <w:r>
        <w:rPr>
          <w:rFonts w:hint="eastAsia" w:cs="宋体" w:asciiTheme="minorEastAsia" w:hAnsiTheme="minorEastAsia" w:eastAsiaTheme="minorEastAsia"/>
        </w:rPr>
        <w:t>2、其它说明：</w:t>
      </w:r>
    </w:p>
    <w:p>
      <w:pPr>
        <w:spacing w:line="360" w:lineRule="auto"/>
        <w:ind w:firstLine="420" w:firstLineChars="200"/>
        <w:jc w:val="left"/>
        <w:rPr>
          <w:rFonts w:cs="宋体" w:asciiTheme="minorEastAsia" w:hAnsiTheme="minorEastAsia" w:eastAsiaTheme="minorEastAsia"/>
        </w:rPr>
      </w:pPr>
      <w:r>
        <w:rPr>
          <w:rFonts w:hint="eastAsia" w:cs="宋体" w:asciiTheme="minorEastAsia" w:hAnsiTheme="minorEastAsia" w:eastAsiaTheme="minorEastAsia"/>
        </w:rPr>
        <w:t>2.1 本工程量清单是根据设计图纸及现场情况进行计算。结算时，根据工程量实际情况，结合现场签证，工程量减少时据实调整，工程量增加时原则上不予调整。</w:t>
      </w:r>
    </w:p>
    <w:p>
      <w:pPr>
        <w:spacing w:line="360" w:lineRule="auto"/>
        <w:ind w:firstLine="420" w:firstLineChars="200"/>
        <w:jc w:val="left"/>
        <w:rPr>
          <w:rFonts w:cs="宋体" w:asciiTheme="minorEastAsia" w:hAnsiTheme="minorEastAsia" w:eastAsiaTheme="minorEastAsia"/>
        </w:rPr>
      </w:pPr>
      <w:r>
        <w:rPr>
          <w:rFonts w:hint="eastAsia" w:cs="宋体" w:asciiTheme="minorEastAsia" w:hAnsiTheme="minorEastAsia" w:eastAsiaTheme="minorEastAsia"/>
        </w:rPr>
        <w:t>2.2 施工图设计内容及相关的设计施工规范、磋商文件、补充通知和图纸答疑等。</w:t>
      </w:r>
    </w:p>
    <w:p>
      <w:pPr>
        <w:spacing w:line="360" w:lineRule="auto"/>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lang w:eastAsia="zh-CN"/>
        </w:rPr>
        <w:t>五</w:t>
      </w:r>
      <w:r>
        <w:rPr>
          <w:rFonts w:hint="eastAsia" w:cs="宋体" w:asciiTheme="minorEastAsia" w:hAnsiTheme="minorEastAsia" w:eastAsiaTheme="minorEastAsia"/>
          <w:b/>
          <w:color w:val="FF0000"/>
        </w:rPr>
        <w:t>、安全要求</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1、采购人将按照行业管理相关规定，对中标供应商及其专业分包单位的全部施工人员签订保密协议，并到相关安全管理部门备案；</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2、进场施工之前，中标供应商及其专业分包单位必须对全部施工人员进行保密培训；</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3、中标供应商及其专业分包单位必须提供全部进场工作人员的本单位社保证明（近6个月）、无犯罪记录证明和本单位担保函，在采购人办理进场施工证明（10元/个，由中标供应商及其专业分包单位承担费用，采购人复核和办理时间为1天），并接受采购人的现场统一管理，否则由此引起的费用损失和拖延工期全部由中标供应商承担。</w:t>
      </w:r>
    </w:p>
    <w:p>
      <w:pPr>
        <w:spacing w:line="360" w:lineRule="auto"/>
        <w:ind w:firstLine="422" w:firstLineChars="200"/>
        <w:jc w:val="center"/>
        <w:rPr>
          <w:rFonts w:ascii="宋体" w:hAnsi="宋体"/>
        </w:rPr>
      </w:pPr>
      <w:r>
        <w:rPr>
          <w:rFonts w:ascii="宋体" w:hAnsi="宋体" w:cs="宋体"/>
          <w:b/>
        </w:rPr>
        <w:br w:type="page"/>
      </w:r>
      <w:r>
        <w:rPr>
          <w:rFonts w:hint="eastAsia" w:ascii="Times New Roman" w:hAnsi="Times New Roman"/>
          <w:b/>
          <w:bCs/>
          <w:sz w:val="36"/>
          <w:szCs w:val="36"/>
        </w:rPr>
        <w:t>第四章评审办法及评分标准</w:t>
      </w:r>
      <w:bookmarkEnd w:id="18"/>
    </w:p>
    <w:p>
      <w:pPr>
        <w:spacing w:line="440" w:lineRule="exact"/>
        <w:ind w:firstLine="420" w:firstLineChars="200"/>
        <w:rPr>
          <w:rFonts w:ascii="宋体" w:hAnsi="宋体" w:cs="宋体"/>
        </w:rPr>
      </w:pPr>
      <w:r>
        <w:rPr>
          <w:rFonts w:hint="eastAsia" w:ascii="宋体" w:hAnsi="宋体" w:cs="宋体"/>
        </w:rPr>
        <w:t>一、评审方法</w:t>
      </w:r>
    </w:p>
    <w:p>
      <w:pPr>
        <w:spacing w:line="440" w:lineRule="exact"/>
        <w:ind w:firstLine="420" w:firstLineChars="200"/>
        <w:rPr>
          <w:rFonts w:ascii="宋体" w:hAnsi="宋体" w:cs="宋体"/>
        </w:rPr>
      </w:pPr>
      <w:r>
        <w:rPr>
          <w:rFonts w:hint="eastAsia" w:ascii="宋体" w:hAnsi="宋体" w:cs="宋体"/>
        </w:rPr>
        <w:t>本次评审采用综合评分法。即满分</w:t>
      </w:r>
      <w:r>
        <w:rPr>
          <w:rFonts w:ascii="宋体" w:hAnsi="宋体" w:cs="宋体"/>
        </w:rPr>
        <w:t>100</w:t>
      </w:r>
      <w:r>
        <w:rPr>
          <w:rFonts w:hint="eastAsia" w:ascii="宋体" w:hAnsi="宋体" w:cs="宋体"/>
        </w:rPr>
        <w:t>分。</w:t>
      </w:r>
    </w:p>
    <w:p>
      <w:pPr>
        <w:ind w:firstLine="420" w:firstLineChars="200"/>
      </w:pPr>
      <w:r>
        <w:rPr>
          <w:rFonts w:hint="eastAsia" w:ascii="宋体" w:hAnsi="宋体" w:cs="宋体"/>
        </w:rPr>
        <w:t>（一）资格性审查标准：按照竞争性磋商文件第一章所要求的供应商资质要求进行评审。</w:t>
      </w:r>
    </w:p>
    <w:tbl>
      <w:tblPr>
        <w:tblStyle w:val="26"/>
        <w:tblW w:w="8947" w:type="dxa"/>
        <w:jc w:val="center"/>
        <w:tblLayout w:type="fixed"/>
        <w:tblCellMar>
          <w:top w:w="57" w:type="dxa"/>
          <w:left w:w="108" w:type="dxa"/>
          <w:bottom w:w="57" w:type="dxa"/>
          <w:right w:w="108" w:type="dxa"/>
        </w:tblCellMar>
      </w:tblPr>
      <w:tblGrid>
        <w:gridCol w:w="591"/>
        <w:gridCol w:w="7315"/>
        <w:gridCol w:w="1041"/>
      </w:tblGrid>
      <w:tr>
        <w:tblPrEx>
          <w:tblCellMar>
            <w:top w:w="57" w:type="dxa"/>
            <w:left w:w="108" w:type="dxa"/>
            <w:bottom w:w="57" w:type="dxa"/>
            <w:right w:w="108" w:type="dxa"/>
          </w:tblCellMar>
        </w:tblPrEx>
        <w:trPr>
          <w:trHeight w:val="517"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序号</w:t>
            </w:r>
          </w:p>
        </w:tc>
        <w:tc>
          <w:tcPr>
            <w:tcW w:w="731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rPr>
            </w:pPr>
            <w:r>
              <w:rPr>
                <w:rFonts w:hint="eastAsia" w:ascii="宋体" w:hAnsi="宋体" w:cs="宋体"/>
              </w:rPr>
              <w:t>审核内容</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供应商名称</w:t>
            </w:r>
          </w:p>
        </w:tc>
      </w:tr>
      <w:tr>
        <w:tblPrEx>
          <w:tblCellMar>
            <w:top w:w="57" w:type="dxa"/>
            <w:left w:w="108" w:type="dxa"/>
            <w:bottom w:w="57" w:type="dxa"/>
            <w:right w:w="108" w:type="dxa"/>
          </w:tblCellMar>
        </w:tblPrEx>
        <w:trPr>
          <w:trHeight w:val="1683" w:hRule="atLeast"/>
          <w:jc w:val="center"/>
        </w:trPr>
        <w:tc>
          <w:tcPr>
            <w:tcW w:w="591" w:type="dxa"/>
            <w:tcBorders>
              <w:top w:val="nil"/>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1.</w:t>
            </w:r>
          </w:p>
        </w:tc>
        <w:tc>
          <w:tcPr>
            <w:tcW w:w="7315" w:type="dxa"/>
            <w:tcBorders>
              <w:top w:val="nil"/>
              <w:left w:val="nil"/>
              <w:bottom w:val="single" w:color="auto" w:sz="4" w:space="0"/>
              <w:right w:val="single" w:color="auto" w:sz="4" w:space="0"/>
            </w:tcBorders>
          </w:tcPr>
          <w:p>
            <w:r>
              <w:rPr>
                <w:rFonts w:hint="eastAsia"/>
              </w:rPr>
              <w:t>供应商应具备《政府采购法》第二十二条规定的条件；</w:t>
            </w:r>
          </w:p>
          <w:p>
            <w:pPr>
              <w:pStyle w:val="70"/>
              <w:spacing w:before="0" w:beforeAutospacing="0" w:after="0" w:afterAutospacing="0" w:line="360" w:lineRule="auto"/>
              <w:jc w:val="both"/>
              <w:rPr>
                <w:sz w:val="21"/>
                <w:szCs w:val="21"/>
              </w:rPr>
            </w:pPr>
            <w:r>
              <w:rPr>
                <w:rFonts w:hint="eastAsia"/>
                <w:sz w:val="21"/>
                <w:szCs w:val="21"/>
              </w:rPr>
              <w:t xml:space="preserve">1、具有良好的商业信誉和健全的财务会计制度(提供2019年和2020年财务审计报告)； </w:t>
            </w:r>
          </w:p>
          <w:p>
            <w:pPr>
              <w:pStyle w:val="70"/>
              <w:spacing w:before="0" w:beforeAutospacing="0" w:after="0" w:afterAutospacing="0" w:line="360" w:lineRule="auto"/>
              <w:jc w:val="both"/>
              <w:rPr>
                <w:sz w:val="21"/>
                <w:szCs w:val="21"/>
              </w:rPr>
            </w:pPr>
            <w:r>
              <w:rPr>
                <w:rFonts w:hint="eastAsia"/>
                <w:sz w:val="21"/>
                <w:szCs w:val="21"/>
              </w:rPr>
              <w:t xml:space="preserve">2、有依法缴纳税收和社会保障资金的良好记录(提供近6个月的缴纳税收及社保的证明材料)。 </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08"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2.</w:t>
            </w:r>
          </w:p>
        </w:tc>
        <w:tc>
          <w:tcPr>
            <w:tcW w:w="7315"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rPr>
            </w:pPr>
            <w:r>
              <w:rPr>
                <w:rFonts w:hint="eastAsia" w:ascii="宋体" w:hAnsi="宋体" w:cs="宋体"/>
                <w:color w:val="000000"/>
              </w:rPr>
              <w:t>供应商须具有有效的营业执照。</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788"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3.</w:t>
            </w:r>
          </w:p>
        </w:tc>
        <w:tc>
          <w:tcPr>
            <w:tcW w:w="7315" w:type="dxa"/>
            <w:tcBorders>
              <w:top w:val="single" w:color="auto" w:sz="4" w:space="0"/>
              <w:left w:val="nil"/>
              <w:bottom w:val="single" w:color="auto" w:sz="4" w:space="0"/>
              <w:right w:val="single" w:color="auto" w:sz="4" w:space="0"/>
            </w:tcBorders>
            <w:vAlign w:val="center"/>
          </w:tcPr>
          <w:p>
            <w:pPr>
              <w:pStyle w:val="70"/>
              <w:spacing w:before="0" w:beforeAutospacing="0" w:after="0" w:afterAutospacing="0" w:line="360" w:lineRule="auto"/>
              <w:jc w:val="both"/>
              <w:rPr>
                <w:sz w:val="21"/>
                <w:szCs w:val="21"/>
              </w:rPr>
            </w:pPr>
            <w:r>
              <w:rPr>
                <w:rFonts w:hint="eastAsia"/>
                <w:sz w:val="21"/>
                <w:szCs w:val="21"/>
              </w:rPr>
              <w:t>供应商法定代表人或拟派项目经理须按时参加磋商，同时提供相关身份证明文件和身份证原件。</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4.</w:t>
            </w:r>
          </w:p>
        </w:tc>
        <w:tc>
          <w:tcPr>
            <w:tcW w:w="7315"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rPr>
              <w:t>供应商必须同时具备</w:t>
            </w:r>
            <w:r>
              <w:rPr>
                <w:rFonts w:hint="eastAsia"/>
                <w:lang w:eastAsia="zh-CN"/>
              </w:rPr>
              <w:t>建筑装修装饰工程专业承包贰级</w:t>
            </w:r>
            <w:r>
              <w:rPr>
                <w:rFonts w:hint="eastAsia"/>
              </w:rPr>
              <w:t>及以上资质，具备有效的安全生产许可证。</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5.</w:t>
            </w:r>
          </w:p>
        </w:tc>
        <w:tc>
          <w:tcPr>
            <w:tcW w:w="7315"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rPr>
              <w:t>供应商项目经理必须具备具建筑工程贰级及以上注册建造师，且具备有效的安全生产考核合格证书（B 证），项目技术负责人必须具备相关专业中级及以上职称，项目其他成员必须提供相关职业证明材料，同时提供以上人员社保缴费证明（需同时提供以上人员近6个月社保证明）。</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6.</w:t>
            </w:r>
          </w:p>
        </w:tc>
        <w:tc>
          <w:tcPr>
            <w:tcW w:w="7315" w:type="dxa"/>
            <w:tcBorders>
              <w:top w:val="single" w:color="auto" w:sz="4" w:space="0"/>
              <w:left w:val="nil"/>
              <w:bottom w:val="single" w:color="auto" w:sz="4" w:space="0"/>
              <w:right w:val="single" w:color="auto" w:sz="4" w:space="0"/>
            </w:tcBorders>
            <w:vAlign w:val="center"/>
          </w:tcPr>
          <w:p>
            <w:pPr>
              <w:widowControl/>
              <w:adjustRightInd w:val="0"/>
              <w:snapToGrid w:val="0"/>
              <w:rPr>
                <w:rFonts w:hint="eastAsia" w:ascii="宋体" w:eastAsia="宋体" w:cs="宋体"/>
                <w:lang w:eastAsia="zh-CN"/>
              </w:rPr>
            </w:pPr>
            <w:r>
              <w:rPr>
                <w:rFonts w:hint="eastAsia" w:ascii="宋体" w:hAnsi="宋体" w:cs="宋体"/>
                <w:color w:val="000000"/>
              </w:rPr>
              <w:t>供应商参加政府采购活动近三年内，在经营活动中没有重大违纪记录、信誉良好</w:t>
            </w:r>
            <w:r>
              <w:rPr>
                <w:rFonts w:hint="eastAsia" w:ascii="宋体" w:hAnsi="宋体" w:cs="宋体"/>
                <w:color w:val="000000"/>
                <w:lang w:eastAsia="zh-CN"/>
              </w:rPr>
              <w:t>。</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7.</w:t>
            </w:r>
          </w:p>
        </w:tc>
        <w:tc>
          <w:tcPr>
            <w:tcW w:w="7315" w:type="dxa"/>
            <w:tcBorders>
              <w:top w:val="nil"/>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cs="宋体"/>
                <w:color w:val="000000"/>
              </w:rPr>
              <w:t>供应商近三年内未被列入“信用中国”网站(www.creditchina.gov.cn)失信被执行人、在最近三年内没有骗取中标或严重违约或重大工程质量问题。供应商及其法定代表人和拟派的项目经理近三年没有行贿犯罪记录。政府采购严重违法失信被执行人。重大税收违法案件当事人、政府采购严重违法失信行为记录名单和行为重大税收违法案件当事人、政府采购严重违法失信行为记录名单和“中国政府采购”网站（www.ccgp.gov.cn）政府采购采购严重违法失信行为记录名单（查询时间在发布本公告之后），并将查询结果“截图”加盖公章或磋商当天在网站查询结果为准。</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74" w:hRule="atLeast"/>
          <w:jc w:val="center"/>
        </w:trPr>
        <w:tc>
          <w:tcPr>
            <w:tcW w:w="5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8.</w:t>
            </w:r>
          </w:p>
        </w:tc>
        <w:tc>
          <w:tcPr>
            <w:tcW w:w="7315" w:type="dxa"/>
            <w:tcBorders>
              <w:top w:val="nil"/>
              <w:left w:val="nil"/>
              <w:bottom w:val="single" w:color="auto" w:sz="4" w:space="0"/>
              <w:right w:val="single" w:color="auto" w:sz="4" w:space="0"/>
            </w:tcBorders>
            <w:vAlign w:val="center"/>
          </w:tcPr>
          <w:p>
            <w:pPr>
              <w:tabs>
                <w:tab w:val="left" w:pos="840"/>
              </w:tabs>
              <w:spacing w:line="360" w:lineRule="auto"/>
              <w:rPr>
                <w:rFonts w:ascii="宋体" w:hAnsi="宋体" w:cs="宋体"/>
                <w:color w:val="000000"/>
              </w:rPr>
            </w:pPr>
            <w:r>
              <w:rPr>
                <w:rFonts w:hint="eastAsia" w:ascii="宋体" w:hAnsi="宋体" w:cs="宋体"/>
                <w:color w:val="000000"/>
              </w:rPr>
              <w:t>供应商不是联合体形式投标。</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7906"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审核结论</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bl>
    <w:p>
      <w:pPr>
        <w:spacing w:line="360" w:lineRule="auto"/>
        <w:rPr>
          <w:rFonts w:ascii="宋体" w:hAnsi="宋体" w:cs="宋体"/>
        </w:rPr>
      </w:pPr>
      <w:r>
        <w:rPr>
          <w:rFonts w:hint="eastAsia" w:ascii="宋体" w:hAnsi="宋体" w:cs="宋体"/>
        </w:rPr>
        <w:t>说明：</w:t>
      </w:r>
    </w:p>
    <w:p>
      <w:pPr>
        <w:numPr>
          <w:ilvl w:val="0"/>
          <w:numId w:val="2"/>
        </w:numPr>
        <w:spacing w:line="360" w:lineRule="auto"/>
        <w:rPr>
          <w:rFonts w:ascii="宋体" w:hAnsi="宋体"/>
        </w:rPr>
      </w:pPr>
      <w:r>
        <w:rPr>
          <w:rFonts w:hint="eastAsia" w:ascii="宋体" w:hAnsi="宋体"/>
        </w:rPr>
        <w:t>竞争性磋商小组分别对每一响应文件依据上表进行检查。</w:t>
      </w:r>
    </w:p>
    <w:p>
      <w:pPr>
        <w:numPr>
          <w:ilvl w:val="0"/>
          <w:numId w:val="2"/>
        </w:numPr>
        <w:spacing w:line="360" w:lineRule="auto"/>
        <w:rPr>
          <w:rFonts w:ascii="宋体" w:hAnsi="宋体"/>
        </w:rPr>
      </w:pPr>
      <w:r>
        <w:rPr>
          <w:rFonts w:hint="eastAsia" w:ascii="宋体" w:hAnsi="宋体"/>
        </w:rPr>
        <w:t>竞争性磋商小组评审只根据响应文件本身的真实无误的内容，而不依据外部的证据，但响应文件有不真实不正确的内容时除外。</w:t>
      </w:r>
    </w:p>
    <w:p>
      <w:pPr>
        <w:numPr>
          <w:ilvl w:val="0"/>
          <w:numId w:val="2"/>
        </w:numPr>
        <w:spacing w:line="360" w:lineRule="auto"/>
        <w:rPr>
          <w:rFonts w:ascii="宋体" w:hAnsi="宋体"/>
        </w:rPr>
      </w:pPr>
      <w:r>
        <w:rPr>
          <w:rFonts w:hint="eastAsia" w:ascii="宋体" w:hAnsi="宋体"/>
        </w:rPr>
        <w:t>满足要求的条款打“√”，否则为“×”。</w:t>
      </w:r>
    </w:p>
    <w:p>
      <w:pPr>
        <w:numPr>
          <w:ilvl w:val="0"/>
          <w:numId w:val="2"/>
        </w:numPr>
        <w:spacing w:line="360" w:lineRule="auto"/>
        <w:rPr>
          <w:rFonts w:ascii="宋体" w:hAnsi="宋体"/>
        </w:rPr>
      </w:pPr>
      <w:r>
        <w:rPr>
          <w:rFonts w:hint="eastAsia" w:ascii="宋体" w:hAnsi="宋体"/>
        </w:rPr>
        <w:t>对于响应文件中有任意一条不满足要求将导致其响应无效，不进入下一项评审。</w:t>
      </w:r>
    </w:p>
    <w:p>
      <w:pPr>
        <w:ind w:firstLine="420" w:firstLineChars="200"/>
      </w:pPr>
      <w:r>
        <w:rPr>
          <w:rFonts w:hint="eastAsia" w:ascii="宋体" w:hAnsi="宋体" w:cs="宋体"/>
        </w:rPr>
        <w:t>（二）符合性审查标准</w:t>
      </w:r>
    </w:p>
    <w:tbl>
      <w:tblPr>
        <w:tblStyle w:val="26"/>
        <w:tblW w:w="8947" w:type="dxa"/>
        <w:jc w:val="center"/>
        <w:tblLayout w:type="fixed"/>
        <w:tblCellMar>
          <w:top w:w="57" w:type="dxa"/>
          <w:left w:w="108" w:type="dxa"/>
          <w:bottom w:w="57" w:type="dxa"/>
          <w:right w:w="108" w:type="dxa"/>
        </w:tblCellMar>
      </w:tblPr>
      <w:tblGrid>
        <w:gridCol w:w="449"/>
        <w:gridCol w:w="7457"/>
        <w:gridCol w:w="1041"/>
      </w:tblGrid>
      <w:tr>
        <w:tblPrEx>
          <w:tblCellMar>
            <w:top w:w="57" w:type="dxa"/>
            <w:left w:w="108" w:type="dxa"/>
            <w:bottom w:w="57" w:type="dxa"/>
            <w:right w:w="108" w:type="dxa"/>
          </w:tblCellMar>
        </w:tblPrEx>
        <w:trPr>
          <w:trHeight w:val="517"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序号</w:t>
            </w:r>
          </w:p>
        </w:tc>
        <w:tc>
          <w:tcPr>
            <w:tcW w:w="74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rPr>
            </w:pPr>
            <w:r>
              <w:rPr>
                <w:rFonts w:hint="eastAsia" w:ascii="宋体" w:hAnsi="宋体" w:cs="宋体"/>
              </w:rPr>
              <w:t>审核内容</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供应商名称</w:t>
            </w:r>
          </w:p>
        </w:tc>
      </w:tr>
      <w:tr>
        <w:tblPrEx>
          <w:tblCellMar>
            <w:top w:w="57" w:type="dxa"/>
            <w:left w:w="108" w:type="dxa"/>
            <w:bottom w:w="57" w:type="dxa"/>
            <w:right w:w="108" w:type="dxa"/>
          </w:tblCellMar>
        </w:tblPrEx>
        <w:trPr>
          <w:trHeight w:val="340" w:hRule="atLeast"/>
          <w:jc w:val="center"/>
        </w:trPr>
        <w:tc>
          <w:tcPr>
            <w:tcW w:w="449" w:type="dxa"/>
            <w:tcBorders>
              <w:top w:val="nil"/>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nil"/>
              <w:left w:val="nil"/>
              <w:bottom w:val="single" w:color="auto" w:sz="4" w:space="0"/>
              <w:right w:val="single" w:color="auto" w:sz="4" w:space="0"/>
            </w:tcBorders>
          </w:tcPr>
          <w:p>
            <w:pPr>
              <w:rPr>
                <w:rFonts w:ascii="宋体" w:hAnsi="宋体" w:cs="宋体"/>
              </w:rPr>
            </w:pPr>
            <w:r>
              <w:rPr>
                <w:rFonts w:hint="eastAsia" w:ascii="宋体" w:hAnsi="宋体" w:cs="宋体"/>
              </w:rPr>
              <w:t>响应文件按照磋商文件规定要求密封、签署、盖章。</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08"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rPr>
            </w:pPr>
            <w:r>
              <w:rPr>
                <w:rFonts w:hint="eastAsia" w:ascii="宋体" w:hAnsi="宋体" w:cs="宋体"/>
              </w:rPr>
              <w:t>投标报价未超过磋商文件中规定的预算金额或者最高限价。</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响应文件</w:t>
            </w:r>
            <w:r>
              <w:rPr>
                <w:rFonts w:hint="eastAsia" w:ascii="宋体" w:hAnsi="宋体"/>
              </w:rPr>
              <w:t>正本一份，副本二份。</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cs="宋体"/>
              </w:rPr>
              <w:t>响应文件有“按法律法规、行政法规和国家关于工程质量保修的有关规定，对交付采购方的工程在质量保修期按有关质保期限规定执行，并提供承诺书”的内容。</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响应文件有“质保期内,采购人提出工程质量问题，成交供应商必须在24小时内响应回复采购人，并于5天内完成工程维修工作；若维修工作5天内难以完成，必须把相关工程质量维修工作的详细情况书面告之采购人，对维修时间进行承诺，并获得采购人书面同意；若成交供应商不积极响应或者未承诺维修期限，采购人有权另行委托其他单位维修，相关费用从成交供应商质保金中扣除。（投标供应商必须提供相关承诺，否则作为无效投标处理）”的内容。</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响应文件有“成交供应商必须按照质量操作和验收规范进行施工，确保工程分项及整体验收达到承诺要求及国家有关质量标准，并提供承诺书”的内容。</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响应文件相关条款符合磋商文件中商务、技术实质性条款要求。</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r>
              <w:rPr>
                <w:rFonts w:hint="eastAsia" w:ascii="宋体" w:hAnsi="宋体" w:cs="宋体"/>
              </w:rPr>
              <w:t>供应商不存在围标、串标行为，不存在法律、法规的其他无效情形。</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cs="宋体"/>
              </w:rPr>
              <w:t>响应文件有效期满足文件要求。</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bCs/>
              </w:rPr>
              <w:t>拟投入的主要施工机械设备表。</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bCs/>
              </w:rPr>
              <w:t>劳动力安排计划表。</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bCs/>
              </w:rPr>
              <w:t>计划开、竣工日期和施工进度网络和横道图。</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449" w:type="dxa"/>
            <w:tcBorders>
              <w:top w:val="single" w:color="auto" w:sz="4" w:space="0"/>
              <w:left w:val="single" w:color="auto" w:sz="4" w:space="0"/>
              <w:bottom w:val="single" w:color="auto" w:sz="4" w:space="0"/>
              <w:right w:val="single" w:color="auto" w:sz="4" w:space="0"/>
            </w:tcBorders>
            <w:vAlign w:val="center"/>
          </w:tcPr>
          <w:p>
            <w:pPr>
              <w:widowControl/>
              <w:numPr>
                <w:ilvl w:val="0"/>
                <w:numId w:val="3"/>
              </w:numPr>
              <w:adjustRightInd w:val="0"/>
              <w:snapToGrid w:val="0"/>
              <w:rPr>
                <w:rFonts w:ascii="宋体" w:hAnsi="宋体" w:cs="宋体"/>
              </w:rPr>
            </w:pPr>
          </w:p>
        </w:tc>
        <w:tc>
          <w:tcPr>
            <w:tcW w:w="7457" w:type="dxa"/>
            <w:tcBorders>
              <w:top w:val="nil"/>
              <w:left w:val="nil"/>
              <w:bottom w:val="single" w:color="auto" w:sz="4" w:space="0"/>
              <w:right w:val="single" w:color="auto" w:sz="4" w:space="0"/>
            </w:tcBorders>
            <w:vAlign w:val="center"/>
          </w:tcPr>
          <w:p>
            <w:pPr>
              <w:widowControl/>
              <w:adjustRightInd w:val="0"/>
              <w:snapToGrid w:val="0"/>
              <w:rPr>
                <w:rFonts w:ascii="宋体" w:cs="宋体"/>
              </w:rPr>
            </w:pPr>
            <w:r>
              <w:rPr>
                <w:rFonts w:hint="eastAsia" w:ascii="宋体" w:hAnsi="宋体" w:cs="宋体"/>
              </w:rPr>
              <w:t>符合磋商文件中规定的响应其它条款。</w:t>
            </w:r>
          </w:p>
        </w:tc>
        <w:tc>
          <w:tcPr>
            <w:tcW w:w="1041" w:type="dxa"/>
            <w:tcBorders>
              <w:top w:val="nil"/>
              <w:left w:val="nil"/>
              <w:bottom w:val="single" w:color="auto" w:sz="4" w:space="0"/>
              <w:right w:val="single" w:color="auto" w:sz="4" w:space="0"/>
            </w:tcBorders>
            <w:vAlign w:val="center"/>
          </w:tcPr>
          <w:p>
            <w:pPr>
              <w:widowControl/>
              <w:adjustRightInd w:val="0"/>
              <w:snapToGrid w:val="0"/>
              <w:rPr>
                <w:rFonts w:ascii="宋体" w:hAnsi="宋体" w:cs="宋体"/>
              </w:rPr>
            </w:pPr>
          </w:p>
        </w:tc>
      </w:tr>
      <w:tr>
        <w:tblPrEx>
          <w:tblCellMar>
            <w:top w:w="57" w:type="dxa"/>
            <w:left w:w="108" w:type="dxa"/>
            <w:bottom w:w="57" w:type="dxa"/>
            <w:right w:w="108" w:type="dxa"/>
          </w:tblCellMar>
        </w:tblPrEx>
        <w:trPr>
          <w:trHeight w:val="340" w:hRule="atLeast"/>
          <w:jc w:val="center"/>
        </w:trPr>
        <w:tc>
          <w:tcPr>
            <w:tcW w:w="7906" w:type="dxa"/>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rPr>
            </w:pPr>
            <w:r>
              <w:rPr>
                <w:rFonts w:hint="eastAsia" w:ascii="宋体" w:hAnsi="宋体" w:cs="宋体"/>
              </w:rPr>
              <w:t>审核结论</w:t>
            </w:r>
          </w:p>
        </w:tc>
        <w:tc>
          <w:tcPr>
            <w:tcW w:w="1041" w:type="dxa"/>
            <w:tcBorders>
              <w:top w:val="single" w:color="auto" w:sz="4" w:space="0"/>
              <w:left w:val="nil"/>
              <w:bottom w:val="single" w:color="auto" w:sz="4" w:space="0"/>
              <w:right w:val="single" w:color="auto" w:sz="4" w:space="0"/>
            </w:tcBorders>
            <w:vAlign w:val="center"/>
          </w:tcPr>
          <w:p>
            <w:pPr>
              <w:widowControl/>
              <w:adjustRightInd w:val="0"/>
              <w:snapToGrid w:val="0"/>
              <w:rPr>
                <w:rFonts w:ascii="宋体" w:hAnsi="宋体" w:cs="宋体"/>
              </w:rPr>
            </w:pPr>
          </w:p>
        </w:tc>
      </w:tr>
    </w:tbl>
    <w:p>
      <w:pPr>
        <w:spacing w:line="360" w:lineRule="auto"/>
        <w:ind w:firstLine="420" w:firstLineChars="200"/>
        <w:rPr>
          <w:rFonts w:ascii="宋体" w:hAnsi="宋体" w:cs="宋体"/>
        </w:rPr>
      </w:pPr>
      <w:r>
        <w:rPr>
          <w:rFonts w:hint="eastAsia" w:ascii="宋体" w:hAnsi="宋体" w:cs="宋体"/>
        </w:rPr>
        <w:t>说明：</w:t>
      </w:r>
    </w:p>
    <w:p>
      <w:pPr>
        <w:spacing w:line="360" w:lineRule="auto"/>
        <w:ind w:firstLine="420" w:firstLineChars="200"/>
        <w:rPr>
          <w:rFonts w:ascii="宋体" w:hAnsi="宋体" w:cs="宋体"/>
        </w:rPr>
      </w:pPr>
      <w:r>
        <w:rPr>
          <w:rFonts w:hint="eastAsia" w:ascii="宋体" w:hAnsi="宋体" w:cs="宋体"/>
        </w:rPr>
        <w:t>1、竞争性磋商小组分别对每一响应文件依据上表进行检查。</w:t>
      </w:r>
    </w:p>
    <w:p>
      <w:pPr>
        <w:spacing w:line="360" w:lineRule="auto"/>
        <w:ind w:firstLine="420" w:firstLineChars="200"/>
        <w:rPr>
          <w:rFonts w:ascii="宋体" w:hAnsi="宋体" w:cs="宋体"/>
        </w:rPr>
      </w:pPr>
      <w:r>
        <w:rPr>
          <w:rFonts w:hint="eastAsia" w:ascii="宋体" w:hAnsi="宋体" w:cs="宋体"/>
        </w:rPr>
        <w:t>2、竞争性磋商小组评审只根据响应文件本身的真实无误的内容，而不依据外部的证据，但响应文件有不真实不正确的内容时除外。</w:t>
      </w:r>
    </w:p>
    <w:p>
      <w:pPr>
        <w:spacing w:line="360" w:lineRule="auto"/>
        <w:ind w:firstLine="420" w:firstLineChars="200"/>
        <w:rPr>
          <w:rFonts w:ascii="宋体" w:hAnsi="宋体" w:cs="宋体"/>
        </w:rPr>
      </w:pPr>
      <w:r>
        <w:rPr>
          <w:rFonts w:hint="eastAsia" w:ascii="宋体" w:hAnsi="宋体" w:cs="宋体"/>
        </w:rPr>
        <w:t>3、满足要求的条款打“√”，否则为“×”。</w:t>
      </w:r>
    </w:p>
    <w:p>
      <w:pPr>
        <w:spacing w:line="360" w:lineRule="auto"/>
        <w:ind w:firstLine="420" w:firstLineChars="200"/>
        <w:rPr>
          <w:rFonts w:ascii="宋体" w:hAnsi="宋体" w:cs="宋体"/>
        </w:rPr>
      </w:pPr>
      <w:r>
        <w:rPr>
          <w:rFonts w:hint="eastAsia" w:ascii="宋体" w:hAnsi="宋体" w:cs="宋体"/>
        </w:rPr>
        <w:t>4、对于响应文件中有任意一条不满足要求将导致其响应无效，不进入下一项评审。</w:t>
      </w:r>
    </w:p>
    <w:p>
      <w:pPr>
        <w:spacing w:line="360" w:lineRule="auto"/>
        <w:ind w:firstLine="420" w:firstLineChars="200"/>
        <w:rPr>
          <w:rFonts w:ascii="宋体" w:hAnsi="宋体" w:cs="宋体"/>
        </w:rPr>
      </w:pPr>
      <w:r>
        <w:rPr>
          <w:rFonts w:hint="eastAsia" w:ascii="宋体" w:hAnsi="宋体" w:cs="宋体"/>
        </w:rPr>
        <w:t>（三）通过资格性和符合性审查的供应商才能提交最后报价。</w:t>
      </w:r>
    </w:p>
    <w:p>
      <w:pPr>
        <w:spacing w:line="360" w:lineRule="auto"/>
        <w:ind w:firstLine="420" w:firstLineChars="200"/>
        <w:rPr>
          <w:rFonts w:ascii="宋体" w:hAnsi="宋体" w:cs="宋体"/>
        </w:rPr>
      </w:pPr>
      <w:r>
        <w:rPr>
          <w:rFonts w:hint="eastAsia" w:ascii="宋体" w:hAnsi="宋体" w:cs="宋体"/>
        </w:rPr>
        <w:t>三、评审步骤</w:t>
      </w:r>
    </w:p>
    <w:p>
      <w:pPr>
        <w:spacing w:line="360" w:lineRule="auto"/>
        <w:ind w:firstLine="420" w:firstLineChars="200"/>
        <w:rPr>
          <w:rFonts w:ascii="宋体" w:hAnsi="宋体" w:cs="宋体"/>
        </w:rPr>
      </w:pPr>
      <w:r>
        <w:rPr>
          <w:rFonts w:hint="eastAsia" w:ascii="宋体" w:hAnsi="宋体" w:cs="宋体"/>
        </w:rPr>
        <w:t>竞争性磋商小组对响应文件的评审分为商务服务评议和综合评议；</w:t>
      </w:r>
    </w:p>
    <w:p>
      <w:pPr>
        <w:spacing w:line="360" w:lineRule="auto"/>
        <w:ind w:firstLine="420" w:firstLineChars="200"/>
        <w:rPr>
          <w:rFonts w:ascii="宋体" w:hAnsi="宋体" w:cs="宋体"/>
        </w:rPr>
      </w:pPr>
      <w:r>
        <w:rPr>
          <w:rFonts w:hint="eastAsia" w:ascii="宋体" w:hAnsi="宋体" w:cs="宋体"/>
        </w:rPr>
        <w:t>（一）商务评议</w:t>
      </w:r>
    </w:p>
    <w:p>
      <w:pPr>
        <w:spacing w:line="360" w:lineRule="auto"/>
        <w:ind w:firstLine="420" w:firstLineChars="200"/>
        <w:rPr>
          <w:rFonts w:ascii="宋体" w:hAnsi="宋体" w:cs="宋体"/>
        </w:rPr>
      </w:pPr>
      <w:r>
        <w:rPr>
          <w:rFonts w:hint="eastAsia" w:ascii="宋体" w:hAnsi="宋体" w:cs="宋体"/>
        </w:rPr>
        <w:t>竞争性磋商小组依据“商务服务评分表”中的分值及标准进行评分。</w:t>
      </w:r>
    </w:p>
    <w:p>
      <w:pPr>
        <w:spacing w:line="360" w:lineRule="auto"/>
        <w:ind w:firstLine="420" w:firstLineChars="200"/>
        <w:rPr>
          <w:rFonts w:ascii="宋体" w:hAnsi="宋体" w:cs="宋体"/>
        </w:rPr>
      </w:pPr>
      <w:r>
        <w:rPr>
          <w:rFonts w:hint="eastAsia" w:ascii="宋体" w:hAnsi="宋体" w:cs="宋体"/>
        </w:rPr>
        <w:t>（二）技术评议</w:t>
      </w:r>
    </w:p>
    <w:p>
      <w:pPr>
        <w:spacing w:line="360" w:lineRule="auto"/>
        <w:ind w:firstLine="420" w:firstLineChars="200"/>
        <w:rPr>
          <w:rFonts w:ascii="宋体" w:hAnsi="宋体" w:cs="宋体"/>
        </w:rPr>
      </w:pPr>
      <w:r>
        <w:rPr>
          <w:rFonts w:hint="eastAsia" w:ascii="宋体" w:hAnsi="宋体" w:cs="宋体"/>
        </w:rPr>
        <w:t>竞争性磋商小组依据“技术评分表”中的分值及标准进行评分。</w:t>
      </w:r>
    </w:p>
    <w:p>
      <w:pPr>
        <w:spacing w:line="360" w:lineRule="auto"/>
        <w:ind w:firstLine="420" w:firstLineChars="200"/>
        <w:rPr>
          <w:rFonts w:ascii="宋体" w:hAnsi="宋体" w:cs="宋体"/>
        </w:rPr>
      </w:pPr>
      <w:r>
        <w:rPr>
          <w:rFonts w:hint="eastAsia" w:ascii="宋体" w:hAnsi="宋体" w:cs="宋体"/>
        </w:rPr>
        <w:t>（三）价格评议</w:t>
      </w:r>
    </w:p>
    <w:p>
      <w:pPr>
        <w:spacing w:line="360" w:lineRule="auto"/>
        <w:ind w:firstLine="420" w:firstLineChars="200"/>
        <w:rPr>
          <w:rFonts w:ascii="宋体" w:hAnsi="宋体" w:cs="宋体"/>
        </w:rPr>
      </w:pPr>
      <w:r>
        <w:rPr>
          <w:rFonts w:hint="eastAsia" w:ascii="宋体" w:hAnsi="宋体" w:cs="宋体"/>
        </w:rPr>
        <w:t>价格分采用低价优先法计算，即满足竞争性磋商文件要求且最后报价最低的供应商的价格为竞争性磋商基准价，其价格分为满分。其他供应商的价格分统一按照下列公式计算：</w:t>
      </w:r>
    </w:p>
    <w:p>
      <w:pPr>
        <w:spacing w:line="360" w:lineRule="auto"/>
        <w:ind w:firstLine="420" w:firstLineChars="200"/>
        <w:rPr>
          <w:rFonts w:ascii="宋体" w:hAnsi="宋体" w:cs="宋体"/>
        </w:rPr>
      </w:pPr>
      <w:r>
        <w:rPr>
          <w:rFonts w:hint="eastAsia" w:ascii="宋体" w:hAnsi="宋体" w:cs="宋体"/>
        </w:rPr>
        <w:t>竞争性磋商报价得分</w:t>
      </w:r>
      <w:r>
        <w:rPr>
          <w:rFonts w:ascii="宋体" w:hAnsi="宋体" w:cs="宋体"/>
        </w:rPr>
        <w:t>=</w:t>
      </w:r>
      <w:r>
        <w:rPr>
          <w:rFonts w:hint="eastAsia" w:ascii="宋体" w:hAnsi="宋体" w:cs="宋体"/>
        </w:rPr>
        <w:t>（竞争性磋商基准价</w:t>
      </w:r>
      <w:r>
        <w:rPr>
          <w:rFonts w:ascii="宋体" w:hAnsi="宋体" w:cs="宋体"/>
        </w:rPr>
        <w:t>/</w:t>
      </w:r>
      <w:r>
        <w:rPr>
          <w:rFonts w:hint="eastAsia" w:ascii="宋体" w:hAnsi="宋体" w:cs="宋体"/>
        </w:rPr>
        <w:t>最后竞争性磋商报价）×价格分</w:t>
      </w:r>
    </w:p>
    <w:p>
      <w:pPr>
        <w:numPr>
          <w:ilvl w:val="0"/>
          <w:numId w:val="4"/>
        </w:numPr>
        <w:spacing w:line="360" w:lineRule="auto"/>
        <w:ind w:firstLine="420" w:firstLineChars="200"/>
        <w:rPr>
          <w:rFonts w:ascii="宋体" w:hAnsi="宋体" w:cs="宋体"/>
        </w:rPr>
      </w:pPr>
      <w:r>
        <w:rPr>
          <w:rFonts w:hint="eastAsia" w:ascii="宋体" w:hAnsi="宋体" w:cs="宋体"/>
        </w:rPr>
        <w:t>确定响应供应商进行最后报价</w:t>
      </w:r>
    </w:p>
    <w:p>
      <w:pPr>
        <w:spacing w:line="360" w:lineRule="auto"/>
        <w:ind w:firstLine="480"/>
        <w:rPr>
          <w:rFonts w:ascii="宋体" w:hAnsi="宋体" w:cs="宋体"/>
        </w:rPr>
      </w:pPr>
      <w:r>
        <w:rPr>
          <w:rFonts w:hint="eastAsia" w:ascii="宋体" w:hAnsi="宋体" w:cs="宋体"/>
        </w:rPr>
        <w:t>竞争性磋商文件能完整、明确列明采购需求，无需要供应商提供最终技术方案或者解决方案的：在竞争性磋商结束后，竞争性磋商小组向所有通过初步审核的响应供应商发出报价书，并要求其在规定时间内提交最后报价；</w:t>
      </w:r>
    </w:p>
    <w:p>
      <w:pPr>
        <w:spacing w:line="360" w:lineRule="auto"/>
        <w:ind w:firstLine="480"/>
        <w:rPr>
          <w:rFonts w:ascii="宋体" w:hAnsi="宋体" w:cs="宋体"/>
        </w:rPr>
      </w:pPr>
      <w:r>
        <w:rPr>
          <w:rFonts w:hint="eastAsia" w:ascii="宋体" w:hAnsi="宋体" w:cs="宋体"/>
        </w:rPr>
        <w:t>竞争性磋商文件不能完整、明确列明采购需求，需要由供应商提供最终技术方案或者解决方案的：在竞争性磋商结束后，竞争性磋商小组应当按照少数服从多数的原则投票推荐</w:t>
      </w:r>
      <w:r>
        <w:rPr>
          <w:rFonts w:ascii="宋体" w:hAnsi="宋体" w:cs="宋体"/>
        </w:rPr>
        <w:t>3</w:t>
      </w:r>
      <w:r>
        <w:rPr>
          <w:rFonts w:hint="eastAsia" w:ascii="宋体" w:hAnsi="宋体" w:cs="宋体"/>
        </w:rPr>
        <w:t>家以上的供应商的技术方案或者解决方案，并要求其在规定时间内提交最后报价。</w:t>
      </w:r>
    </w:p>
    <w:p>
      <w:pPr>
        <w:spacing w:line="360" w:lineRule="auto"/>
        <w:ind w:firstLine="420" w:firstLineChars="200"/>
        <w:rPr>
          <w:rFonts w:ascii="宋体" w:hAnsi="宋体" w:cs="宋体"/>
        </w:rPr>
      </w:pPr>
      <w:r>
        <w:rPr>
          <w:rFonts w:hint="eastAsia" w:ascii="宋体" w:hAnsi="宋体" w:cs="宋体"/>
        </w:rPr>
        <w:t>（五）推荐成交候选供应商</w:t>
      </w:r>
    </w:p>
    <w:p>
      <w:pPr>
        <w:spacing w:line="360" w:lineRule="auto"/>
        <w:ind w:firstLine="480"/>
        <w:rPr>
          <w:rFonts w:ascii="宋体" w:hAnsi="宋体" w:cs="宋体"/>
        </w:rPr>
      </w:pPr>
      <w:r>
        <w:rPr>
          <w:rFonts w:hint="eastAsia" w:ascii="宋体" w:hAnsi="宋体" w:cs="宋体"/>
        </w:rPr>
        <w:t>竞争性磋商小组应当根据综合评分情况，按照评审得分由高到低顺序推荐</w:t>
      </w:r>
      <w:r>
        <w:rPr>
          <w:rFonts w:ascii="宋体" w:hAnsi="宋体" w:cs="宋体"/>
        </w:rPr>
        <w:t>3</w:t>
      </w:r>
      <w:r>
        <w:rPr>
          <w:rFonts w:hint="eastAsia" w:ascii="宋体" w:hAnsi="宋体" w:cs="宋体"/>
        </w:rPr>
        <w:t>名成交候选供应商，并编写评审报告。评审得分相同的，按照评审价格由低到高的顺序推荐。评审得分且评审价格相同的，按照技术指标优劣顺序推荐。</w:t>
      </w:r>
    </w:p>
    <w:p>
      <w:pPr>
        <w:spacing w:line="360" w:lineRule="auto"/>
        <w:rPr>
          <w:rFonts w:ascii="宋体" w:hAnsi="宋体" w:cs="宋体"/>
        </w:rPr>
      </w:pPr>
    </w:p>
    <w:p>
      <w:pPr>
        <w:spacing w:line="360" w:lineRule="auto"/>
        <w:jc w:val="center"/>
        <w:rPr>
          <w:rFonts w:ascii="宋体" w:hAnsi="宋体" w:cs="宋体"/>
          <w:b/>
          <w:bCs/>
          <w:sz w:val="32"/>
          <w:szCs w:val="32"/>
        </w:rPr>
      </w:pPr>
      <w:r>
        <w:rPr>
          <w:rFonts w:ascii="宋体" w:hAnsi="宋体"/>
          <w:b/>
        </w:rPr>
        <w:br w:type="page"/>
      </w:r>
      <w:bookmarkStart w:id="19" w:name="_Toc488324280"/>
      <w:r>
        <w:rPr>
          <w:rFonts w:hint="eastAsia" w:ascii="宋体" w:hAnsi="宋体" w:cs="宋体"/>
          <w:b/>
          <w:bCs/>
          <w:sz w:val="32"/>
          <w:szCs w:val="32"/>
        </w:rPr>
        <w:t>评分标准（总分100分）</w:t>
      </w:r>
    </w:p>
    <w:tbl>
      <w:tblPr>
        <w:tblStyle w:val="26"/>
        <w:tblW w:w="89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6804"/>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55" w:type="dxa"/>
            <w:vAlign w:val="center"/>
          </w:tcPr>
          <w:p>
            <w:pPr>
              <w:tabs>
                <w:tab w:val="left" w:pos="855"/>
              </w:tabs>
              <w:spacing w:line="360" w:lineRule="auto"/>
              <w:jc w:val="center"/>
              <w:rPr>
                <w:rFonts w:ascii="宋体"/>
                <w:b/>
                <w:bCs/>
              </w:rPr>
            </w:pPr>
            <w:r>
              <w:rPr>
                <w:rFonts w:hint="eastAsia" w:ascii="宋体" w:hAnsi="宋体" w:cs="宋体"/>
                <w:b/>
                <w:bCs/>
              </w:rPr>
              <w:t>评标项目</w:t>
            </w:r>
          </w:p>
        </w:tc>
        <w:tc>
          <w:tcPr>
            <w:tcW w:w="6804" w:type="dxa"/>
            <w:vAlign w:val="center"/>
          </w:tcPr>
          <w:p>
            <w:pPr>
              <w:autoSpaceDE w:val="0"/>
              <w:autoSpaceDN w:val="0"/>
              <w:adjustRightInd w:val="0"/>
              <w:spacing w:line="360" w:lineRule="auto"/>
              <w:jc w:val="center"/>
              <w:rPr>
                <w:rStyle w:val="68"/>
                <w:rFonts w:ascii="宋体"/>
                <w:b/>
                <w:bCs/>
              </w:rPr>
            </w:pPr>
            <w:r>
              <w:rPr>
                <w:rStyle w:val="68"/>
                <w:rFonts w:hint="eastAsia" w:ascii="宋体" w:hAnsi="宋体" w:cs="宋体"/>
                <w:b/>
                <w:bCs/>
              </w:rPr>
              <w:t>评标办法</w:t>
            </w:r>
          </w:p>
        </w:tc>
        <w:tc>
          <w:tcPr>
            <w:tcW w:w="955" w:type="dxa"/>
            <w:vAlign w:val="center"/>
          </w:tcPr>
          <w:p>
            <w:pPr>
              <w:tabs>
                <w:tab w:val="left" w:pos="855"/>
              </w:tabs>
              <w:spacing w:line="360" w:lineRule="auto"/>
              <w:jc w:val="center"/>
              <w:rPr>
                <w:rFonts w:ascii="宋体"/>
                <w:b/>
                <w:bCs/>
              </w:rPr>
            </w:pPr>
            <w:r>
              <w:rPr>
                <w:rFonts w:hint="eastAsia" w:ascii="宋体" w:hAnsi="宋体" w:cs="宋体"/>
                <w:b/>
                <w:bCs/>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959" w:type="dxa"/>
            <w:gridSpan w:val="2"/>
            <w:vAlign w:val="center"/>
          </w:tcPr>
          <w:p>
            <w:pPr>
              <w:autoSpaceDE w:val="0"/>
              <w:autoSpaceDN w:val="0"/>
              <w:adjustRightInd w:val="0"/>
              <w:spacing w:line="360" w:lineRule="auto"/>
              <w:jc w:val="center"/>
              <w:rPr>
                <w:rStyle w:val="68"/>
                <w:rFonts w:ascii="宋体"/>
              </w:rPr>
            </w:pPr>
            <w:r>
              <w:rPr>
                <w:rFonts w:hint="eastAsia" w:ascii="宋体" w:hAnsi="宋体" w:cs="宋体"/>
                <w:b/>
                <w:bCs/>
              </w:rPr>
              <w:t>商务标评分细则</w:t>
            </w:r>
            <w:r>
              <w:rPr>
                <w:rFonts w:ascii="宋体" w:hAnsi="宋体" w:cs="宋体"/>
                <w:b/>
                <w:bCs/>
              </w:rPr>
              <w:t xml:space="preserve">  </w:t>
            </w:r>
            <w:r>
              <w:rPr>
                <w:rFonts w:hint="eastAsia" w:ascii="宋体" w:hAnsi="宋体" w:cs="宋体"/>
                <w:b/>
                <w:bCs/>
              </w:rPr>
              <w:t>（</w:t>
            </w:r>
            <w:r>
              <w:rPr>
                <w:rFonts w:ascii="宋体" w:hAnsi="宋体" w:cs="宋体"/>
                <w:b/>
                <w:bCs/>
              </w:rPr>
              <w:t xml:space="preserve">50 </w:t>
            </w:r>
            <w:r>
              <w:rPr>
                <w:rFonts w:hint="eastAsia" w:ascii="宋体" w:hAnsi="宋体" w:cs="宋体"/>
                <w:b/>
                <w:bCs/>
              </w:rPr>
              <w:t>分）</w:t>
            </w:r>
          </w:p>
        </w:tc>
        <w:tc>
          <w:tcPr>
            <w:tcW w:w="955" w:type="dxa"/>
            <w:vAlign w:val="center"/>
          </w:tcPr>
          <w:p>
            <w:pPr>
              <w:spacing w:line="360" w:lineRule="auto"/>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1155" w:type="dxa"/>
            <w:vAlign w:val="center"/>
          </w:tcPr>
          <w:p>
            <w:pPr>
              <w:spacing w:line="360" w:lineRule="auto"/>
              <w:jc w:val="center"/>
              <w:rPr>
                <w:rFonts w:ascii="宋体"/>
                <w:b/>
                <w:bCs/>
              </w:rPr>
            </w:pPr>
            <w:r>
              <w:rPr>
                <w:rFonts w:hint="eastAsia" w:ascii="宋体" w:hAnsi="宋体" w:cs="宋体"/>
                <w:b/>
                <w:bCs/>
              </w:rPr>
              <w:t>投标报价</w:t>
            </w:r>
          </w:p>
        </w:tc>
        <w:tc>
          <w:tcPr>
            <w:tcW w:w="6804" w:type="dxa"/>
            <w:vAlign w:val="center"/>
          </w:tcPr>
          <w:p>
            <w:pPr>
              <w:autoSpaceDE w:val="0"/>
              <w:autoSpaceDN w:val="0"/>
              <w:adjustRightInd w:val="0"/>
              <w:spacing w:line="360" w:lineRule="auto"/>
              <w:rPr>
                <w:rStyle w:val="68"/>
                <w:rFonts w:ascii="宋体"/>
              </w:rPr>
            </w:pPr>
            <w:r>
              <w:rPr>
                <w:rStyle w:val="68"/>
                <w:rFonts w:hint="eastAsia" w:ascii="宋体" w:hAnsi="宋体" w:cs="宋体"/>
              </w:rPr>
              <w:t>满足磋商文件要求且最终磋商价格最低的磋商报价为评标基准价，其价格分为满分，其他供应商的价格按照下列公式计算：磋商报价得分</w:t>
            </w:r>
            <w:r>
              <w:rPr>
                <w:rStyle w:val="68"/>
                <w:rFonts w:ascii="宋体" w:hAnsi="宋体" w:cs="宋体"/>
              </w:rPr>
              <w:t>=</w:t>
            </w:r>
            <w:r>
              <w:rPr>
                <w:rStyle w:val="68"/>
                <w:rFonts w:hint="eastAsia" w:ascii="宋体" w:hAnsi="宋体" w:cs="宋体"/>
              </w:rPr>
              <w:t>（评标基准价</w:t>
            </w:r>
            <w:r>
              <w:rPr>
                <w:rStyle w:val="68"/>
                <w:rFonts w:ascii="宋体" w:hAnsi="宋体" w:cs="宋体"/>
              </w:rPr>
              <w:t>/</w:t>
            </w:r>
            <w:r>
              <w:rPr>
                <w:rStyle w:val="68"/>
                <w:rFonts w:hint="eastAsia" w:ascii="宋体" w:hAnsi="宋体" w:cs="宋体"/>
              </w:rPr>
              <w:t>磋商报价）×</w:t>
            </w:r>
            <w:r>
              <w:rPr>
                <w:rStyle w:val="68"/>
                <w:rFonts w:ascii="宋体" w:hAnsi="宋体" w:cs="宋体"/>
              </w:rPr>
              <w:t>100%</w:t>
            </w:r>
            <w:r>
              <w:rPr>
                <w:rStyle w:val="68"/>
                <w:rFonts w:hint="eastAsia" w:ascii="宋体" w:hAnsi="宋体" w:cs="宋体"/>
              </w:rPr>
              <w:t>×</w:t>
            </w:r>
            <w:r>
              <w:rPr>
                <w:rStyle w:val="68"/>
                <w:rFonts w:ascii="宋体" w:hAnsi="宋体" w:cs="宋体"/>
              </w:rPr>
              <w:t>50</w:t>
            </w:r>
            <w:r>
              <w:rPr>
                <w:rStyle w:val="68"/>
                <w:rFonts w:hint="eastAsia" w:ascii="宋体" w:hAnsi="宋体" w:cs="宋体"/>
              </w:rPr>
              <w:t>。</w:t>
            </w:r>
          </w:p>
        </w:tc>
        <w:tc>
          <w:tcPr>
            <w:tcW w:w="955" w:type="dxa"/>
            <w:vAlign w:val="center"/>
          </w:tcPr>
          <w:p>
            <w:pPr>
              <w:spacing w:line="360" w:lineRule="auto"/>
              <w:jc w:val="center"/>
              <w:rPr>
                <w:rFonts w:ascii="宋体"/>
              </w:rPr>
            </w:pPr>
            <w:r>
              <w:rPr>
                <w:rFonts w:ascii="宋体" w:hAnsi="宋体" w:cs="宋体"/>
              </w:rPr>
              <w:t>50</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7959" w:type="dxa"/>
            <w:gridSpan w:val="2"/>
            <w:vAlign w:val="center"/>
          </w:tcPr>
          <w:p>
            <w:pPr>
              <w:tabs>
                <w:tab w:val="left" w:pos="855"/>
              </w:tabs>
              <w:spacing w:line="360" w:lineRule="auto"/>
              <w:jc w:val="center"/>
              <w:rPr>
                <w:rFonts w:ascii="宋体"/>
              </w:rPr>
            </w:pPr>
            <w:r>
              <w:rPr>
                <w:rFonts w:hint="eastAsia" w:ascii="宋体" w:hAnsi="宋体" w:cs="宋体"/>
                <w:b/>
                <w:bCs/>
              </w:rPr>
              <w:t>综合标评分细则</w:t>
            </w:r>
            <w:r>
              <w:rPr>
                <w:rFonts w:ascii="宋体" w:hAnsi="宋体" w:cs="宋体"/>
                <w:b/>
                <w:bCs/>
              </w:rPr>
              <w:t xml:space="preserve">   </w:t>
            </w:r>
            <w:r>
              <w:rPr>
                <w:rFonts w:hint="eastAsia" w:ascii="宋体" w:hAnsi="宋体" w:cs="宋体"/>
                <w:b/>
                <w:bCs/>
              </w:rPr>
              <w:t>（</w:t>
            </w:r>
            <w:r>
              <w:rPr>
                <w:rFonts w:ascii="宋体" w:hAnsi="宋体" w:cs="宋体"/>
                <w:b/>
                <w:bCs/>
              </w:rPr>
              <w:t>25</w:t>
            </w:r>
            <w:r>
              <w:rPr>
                <w:rFonts w:hint="eastAsia" w:ascii="宋体" w:hAnsi="宋体" w:cs="宋体"/>
                <w:b/>
                <w:bCs/>
              </w:rPr>
              <w:t>分）</w:t>
            </w:r>
          </w:p>
        </w:tc>
        <w:tc>
          <w:tcPr>
            <w:tcW w:w="955" w:type="dxa"/>
          </w:tcPr>
          <w:p>
            <w:pPr>
              <w:tabs>
                <w:tab w:val="left" w:pos="855"/>
              </w:tabs>
              <w:spacing w:line="360" w:lineRule="auto"/>
              <w:ind w:firstLine="2530" w:firstLineChars="1200"/>
              <w:rPr>
                <w:rFonts w:ascii="宋体"/>
                <w:b/>
                <w:bCs/>
              </w:rPr>
            </w:pPr>
            <w:r>
              <w:rPr>
                <w:rFonts w:hint="eastAsia" w:ascii="宋体" w:hAnsi="宋体" w:cs="宋体"/>
                <w:b/>
                <w:bCs/>
              </w:rPr>
              <w:t>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4" w:hRule="atLeast"/>
          <w:jc w:val="center"/>
        </w:trPr>
        <w:tc>
          <w:tcPr>
            <w:tcW w:w="1155" w:type="dxa"/>
            <w:vAlign w:val="center"/>
          </w:tcPr>
          <w:p>
            <w:pPr>
              <w:spacing w:line="360" w:lineRule="auto"/>
              <w:jc w:val="center"/>
              <w:rPr>
                <w:rFonts w:ascii="宋体"/>
                <w:b/>
                <w:bCs/>
              </w:rPr>
            </w:pPr>
            <w:r>
              <w:rPr>
                <w:rFonts w:hint="eastAsia" w:ascii="宋体" w:hAnsi="宋体" w:cs="宋体"/>
                <w:b/>
                <w:bCs/>
              </w:rPr>
              <w:t>人员配备</w:t>
            </w:r>
          </w:p>
        </w:tc>
        <w:tc>
          <w:tcPr>
            <w:tcW w:w="6804" w:type="dxa"/>
            <w:vAlign w:val="center"/>
          </w:tcPr>
          <w:p>
            <w:pPr>
              <w:autoSpaceDE w:val="0"/>
              <w:autoSpaceDN w:val="0"/>
              <w:adjustRightInd w:val="0"/>
              <w:spacing w:line="360" w:lineRule="auto"/>
              <w:rPr>
                <w:rStyle w:val="68"/>
                <w:rFonts w:ascii="宋体"/>
              </w:rPr>
            </w:pPr>
            <w:r>
              <w:rPr>
                <w:rStyle w:val="68"/>
                <w:rFonts w:ascii="宋体" w:hAnsi="宋体" w:cs="宋体"/>
              </w:rPr>
              <w:t>1</w:t>
            </w:r>
            <w:r>
              <w:rPr>
                <w:rStyle w:val="68"/>
                <w:rFonts w:hint="eastAsia" w:ascii="宋体" w:hAnsi="宋体" w:cs="宋体"/>
              </w:rPr>
              <w:t>、项目经理具有本科及以上学历得</w:t>
            </w:r>
            <w:r>
              <w:rPr>
                <w:rStyle w:val="68"/>
                <w:rFonts w:ascii="宋体" w:hAnsi="宋体" w:cs="宋体"/>
              </w:rPr>
              <w:t>1</w:t>
            </w:r>
            <w:r>
              <w:rPr>
                <w:rStyle w:val="68"/>
                <w:rFonts w:hint="eastAsia" w:ascii="宋体" w:hAnsi="宋体" w:cs="宋体"/>
              </w:rPr>
              <w:t>分，具有专科学历得</w:t>
            </w:r>
            <w:r>
              <w:rPr>
                <w:rStyle w:val="68"/>
                <w:rFonts w:ascii="宋体" w:hAnsi="宋体" w:cs="宋体"/>
              </w:rPr>
              <w:t>0.6</w:t>
            </w:r>
            <w:r>
              <w:rPr>
                <w:rStyle w:val="68"/>
                <w:rFonts w:hint="eastAsia" w:ascii="宋体" w:hAnsi="宋体" w:cs="宋体"/>
              </w:rPr>
              <w:t>分，否则不得分；</w:t>
            </w:r>
          </w:p>
          <w:p>
            <w:pPr>
              <w:autoSpaceDE w:val="0"/>
              <w:autoSpaceDN w:val="0"/>
              <w:adjustRightInd w:val="0"/>
              <w:spacing w:line="360" w:lineRule="auto"/>
              <w:rPr>
                <w:rStyle w:val="68"/>
                <w:rFonts w:ascii="宋体"/>
              </w:rPr>
            </w:pPr>
            <w:r>
              <w:rPr>
                <w:rStyle w:val="68"/>
                <w:rFonts w:ascii="宋体" w:cs="宋体"/>
              </w:rPr>
              <w:t>2</w:t>
            </w:r>
            <w:r>
              <w:rPr>
                <w:rStyle w:val="68"/>
                <w:rFonts w:hint="eastAsia" w:ascii="宋体" w:cs="宋体"/>
              </w:rPr>
              <w:t>、</w:t>
            </w:r>
            <w:r>
              <w:rPr>
                <w:rStyle w:val="68"/>
                <w:rFonts w:hint="eastAsia" w:ascii="宋体" w:hAnsi="宋体" w:cs="宋体"/>
              </w:rPr>
              <w:t>项目经理具有类似专业中级及以上职称得</w:t>
            </w:r>
            <w:r>
              <w:rPr>
                <w:rStyle w:val="68"/>
                <w:rFonts w:ascii="宋体" w:hAnsi="宋体" w:cs="宋体"/>
              </w:rPr>
              <w:t>1.0</w:t>
            </w:r>
            <w:r>
              <w:rPr>
                <w:rStyle w:val="68"/>
                <w:rFonts w:hint="eastAsia" w:ascii="宋体" w:hAnsi="宋体" w:cs="宋体"/>
              </w:rPr>
              <w:t>分，否则不得分；</w:t>
            </w:r>
          </w:p>
          <w:p>
            <w:pPr>
              <w:autoSpaceDE w:val="0"/>
              <w:autoSpaceDN w:val="0"/>
              <w:adjustRightInd w:val="0"/>
              <w:spacing w:line="360" w:lineRule="auto"/>
              <w:rPr>
                <w:rStyle w:val="68"/>
                <w:rFonts w:ascii="宋体"/>
              </w:rPr>
            </w:pPr>
            <w:r>
              <w:rPr>
                <w:rStyle w:val="68"/>
                <w:rFonts w:ascii="宋体" w:hAnsi="宋体" w:cs="宋体"/>
              </w:rPr>
              <w:t>3</w:t>
            </w:r>
            <w:r>
              <w:rPr>
                <w:rStyle w:val="68"/>
                <w:rFonts w:hint="eastAsia" w:ascii="宋体" w:hAnsi="宋体" w:cs="宋体"/>
              </w:rPr>
              <w:t>、技术负责人具有本科及以上学历得</w:t>
            </w:r>
            <w:r>
              <w:rPr>
                <w:rStyle w:val="68"/>
                <w:rFonts w:ascii="宋体" w:hAnsi="宋体" w:cs="宋体"/>
              </w:rPr>
              <w:t>1</w:t>
            </w:r>
            <w:r>
              <w:rPr>
                <w:rStyle w:val="68"/>
                <w:rFonts w:hint="eastAsia" w:ascii="宋体" w:hAnsi="宋体" w:cs="宋体"/>
              </w:rPr>
              <w:t>分，具有专科学历得</w:t>
            </w:r>
            <w:r>
              <w:rPr>
                <w:rStyle w:val="68"/>
                <w:rFonts w:ascii="宋体" w:hAnsi="宋体" w:cs="宋体"/>
              </w:rPr>
              <w:t>0.6</w:t>
            </w:r>
            <w:r>
              <w:rPr>
                <w:rStyle w:val="68"/>
                <w:rFonts w:hint="eastAsia" w:ascii="宋体" w:hAnsi="宋体" w:cs="宋体"/>
              </w:rPr>
              <w:t>分，否则不得分；</w:t>
            </w:r>
          </w:p>
          <w:p>
            <w:pPr>
              <w:autoSpaceDE w:val="0"/>
              <w:autoSpaceDN w:val="0"/>
              <w:adjustRightInd w:val="0"/>
              <w:spacing w:line="360" w:lineRule="auto"/>
              <w:rPr>
                <w:rStyle w:val="68"/>
                <w:rFonts w:ascii="宋体"/>
              </w:rPr>
            </w:pPr>
            <w:r>
              <w:rPr>
                <w:rStyle w:val="68"/>
                <w:rFonts w:ascii="宋体" w:cs="宋体"/>
              </w:rPr>
              <w:t>4</w:t>
            </w:r>
            <w:r>
              <w:rPr>
                <w:rStyle w:val="68"/>
                <w:rFonts w:hint="eastAsia" w:ascii="宋体" w:cs="宋体"/>
              </w:rPr>
              <w:t>、</w:t>
            </w:r>
            <w:r>
              <w:rPr>
                <w:rStyle w:val="68"/>
                <w:rFonts w:hint="eastAsia" w:ascii="宋体" w:hAnsi="宋体" w:cs="宋体"/>
              </w:rPr>
              <w:t>技术负责人具有类似专业高级及以上职称得</w:t>
            </w:r>
            <w:r>
              <w:rPr>
                <w:rStyle w:val="68"/>
                <w:rFonts w:ascii="宋体" w:hAnsi="宋体" w:cs="宋体"/>
              </w:rPr>
              <w:t>1</w:t>
            </w:r>
            <w:r>
              <w:rPr>
                <w:rStyle w:val="68"/>
                <w:rFonts w:hint="eastAsia" w:ascii="宋体" w:hAnsi="宋体" w:cs="宋体"/>
              </w:rPr>
              <w:t>分，具有类似专业中级职称得</w:t>
            </w:r>
            <w:r>
              <w:rPr>
                <w:rStyle w:val="68"/>
                <w:rFonts w:ascii="宋体" w:hAnsi="宋体" w:cs="宋体"/>
              </w:rPr>
              <w:t>0.6</w:t>
            </w:r>
            <w:r>
              <w:rPr>
                <w:rStyle w:val="68"/>
                <w:rFonts w:hint="eastAsia" w:ascii="宋体" w:hAnsi="宋体" w:cs="宋体"/>
              </w:rPr>
              <w:t>分，否则不得分；</w:t>
            </w:r>
          </w:p>
          <w:p>
            <w:pPr>
              <w:autoSpaceDE w:val="0"/>
              <w:autoSpaceDN w:val="0"/>
              <w:adjustRightInd w:val="0"/>
              <w:spacing w:line="360" w:lineRule="auto"/>
              <w:rPr>
                <w:rStyle w:val="68"/>
                <w:rFonts w:ascii="宋体" w:cs="宋体"/>
              </w:rPr>
            </w:pPr>
            <w:r>
              <w:rPr>
                <w:rStyle w:val="68"/>
                <w:rFonts w:ascii="宋体" w:hAnsi="宋体" w:cs="宋体"/>
              </w:rPr>
              <w:t>5</w:t>
            </w:r>
            <w:r>
              <w:rPr>
                <w:rStyle w:val="68"/>
                <w:rFonts w:hint="eastAsia" w:ascii="宋体" w:hAnsi="宋体" w:cs="宋体"/>
              </w:rPr>
              <w:t>、技术负责人从事专业年限</w:t>
            </w:r>
            <w:r>
              <w:rPr>
                <w:rStyle w:val="68"/>
                <w:rFonts w:ascii="宋体" w:hAnsi="宋体" w:cs="宋体"/>
              </w:rPr>
              <w:t>10</w:t>
            </w:r>
            <w:r>
              <w:rPr>
                <w:rStyle w:val="68"/>
                <w:rFonts w:hint="eastAsia" w:ascii="宋体" w:hAnsi="宋体" w:cs="宋体"/>
              </w:rPr>
              <w:t>年及以上得</w:t>
            </w:r>
            <w:r>
              <w:rPr>
                <w:rStyle w:val="68"/>
                <w:rFonts w:ascii="宋体" w:hAnsi="宋体" w:cs="宋体"/>
              </w:rPr>
              <w:t>1</w:t>
            </w:r>
            <w:r>
              <w:rPr>
                <w:rStyle w:val="68"/>
                <w:rFonts w:hint="eastAsia" w:ascii="宋体" w:hAnsi="宋体" w:cs="宋体"/>
              </w:rPr>
              <w:t>分，否则不得分；</w:t>
            </w:r>
          </w:p>
          <w:p>
            <w:pPr>
              <w:autoSpaceDE w:val="0"/>
              <w:autoSpaceDN w:val="0"/>
              <w:adjustRightInd w:val="0"/>
              <w:spacing w:line="360" w:lineRule="auto"/>
              <w:rPr>
                <w:rStyle w:val="68"/>
                <w:rFonts w:ascii="宋体"/>
              </w:rPr>
            </w:pPr>
            <w:r>
              <w:rPr>
                <w:rStyle w:val="68"/>
                <w:rFonts w:ascii="宋体" w:hAnsi="宋体" w:cs="宋体"/>
              </w:rPr>
              <w:t>6</w:t>
            </w:r>
            <w:r>
              <w:rPr>
                <w:rStyle w:val="68"/>
                <w:rFonts w:hint="eastAsia" w:ascii="宋体" w:hAnsi="宋体" w:cs="宋体"/>
              </w:rPr>
              <w:t>、拟派项目五大员中，具有</w:t>
            </w:r>
            <w:r>
              <w:rPr>
                <w:rStyle w:val="68"/>
                <w:rFonts w:ascii="宋体" w:hAnsi="宋体" w:cs="宋体"/>
              </w:rPr>
              <w:t>2</w:t>
            </w:r>
            <w:r>
              <w:rPr>
                <w:rStyle w:val="68"/>
                <w:rFonts w:hint="eastAsia" w:ascii="宋体" w:hAnsi="宋体" w:cs="宋体"/>
              </w:rPr>
              <w:t>个及以上具有类似专业中级及以上职称得</w:t>
            </w:r>
            <w:r>
              <w:rPr>
                <w:rStyle w:val="68"/>
                <w:rFonts w:ascii="宋体" w:hAnsi="宋体" w:cs="宋体"/>
              </w:rPr>
              <w:t>2</w:t>
            </w:r>
            <w:r>
              <w:rPr>
                <w:rStyle w:val="68"/>
                <w:rFonts w:hint="eastAsia" w:ascii="宋体" w:hAnsi="宋体" w:cs="宋体"/>
              </w:rPr>
              <w:t>分，否则不得分。</w:t>
            </w:r>
          </w:p>
          <w:p>
            <w:pPr>
              <w:autoSpaceDE w:val="0"/>
              <w:autoSpaceDN w:val="0"/>
              <w:adjustRightInd w:val="0"/>
              <w:spacing w:line="360" w:lineRule="auto"/>
              <w:rPr>
                <w:rFonts w:ascii="宋体"/>
              </w:rPr>
            </w:pPr>
            <w:r>
              <w:rPr>
                <w:rFonts w:hint="eastAsia" w:ascii="宋体" w:hAnsi="宋体" w:cs="宋体"/>
              </w:rPr>
              <w:t>（以上六项要求都必须提供原件核查，否则不得分）</w:t>
            </w:r>
          </w:p>
        </w:tc>
        <w:tc>
          <w:tcPr>
            <w:tcW w:w="955" w:type="dxa"/>
            <w:vAlign w:val="center"/>
          </w:tcPr>
          <w:p>
            <w:pPr>
              <w:spacing w:line="360" w:lineRule="auto"/>
              <w:jc w:val="center"/>
              <w:rPr>
                <w:rFonts w:ascii="宋体"/>
              </w:rPr>
            </w:pPr>
            <w:r>
              <w:rPr>
                <w:rFonts w:ascii="宋体" w:hAnsi="宋体" w:cs="宋体"/>
              </w:rPr>
              <w:t>7</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7" w:hRule="atLeast"/>
          <w:jc w:val="center"/>
        </w:trPr>
        <w:tc>
          <w:tcPr>
            <w:tcW w:w="1155" w:type="dxa"/>
            <w:vAlign w:val="center"/>
          </w:tcPr>
          <w:p>
            <w:pPr>
              <w:spacing w:line="360" w:lineRule="auto"/>
              <w:jc w:val="center"/>
              <w:rPr>
                <w:rFonts w:ascii="宋体"/>
                <w:b/>
                <w:bCs/>
              </w:rPr>
            </w:pPr>
            <w:r>
              <w:rPr>
                <w:rFonts w:hint="eastAsia" w:ascii="宋体" w:hAnsi="宋体" w:cs="宋体"/>
                <w:b/>
                <w:bCs/>
              </w:rPr>
              <w:t>企业业绩</w:t>
            </w:r>
          </w:p>
        </w:tc>
        <w:tc>
          <w:tcPr>
            <w:tcW w:w="6804" w:type="dxa"/>
            <w:vAlign w:val="center"/>
          </w:tcPr>
          <w:p>
            <w:pPr>
              <w:autoSpaceDE w:val="0"/>
              <w:autoSpaceDN w:val="0"/>
              <w:adjustRightInd w:val="0"/>
              <w:spacing w:line="360" w:lineRule="auto"/>
              <w:rPr>
                <w:rStyle w:val="68"/>
                <w:rFonts w:ascii="宋体" w:cs="宋体"/>
              </w:rPr>
            </w:pPr>
            <w:r>
              <w:rPr>
                <w:rStyle w:val="68"/>
                <w:rFonts w:ascii="宋体" w:hAnsi="宋体" w:cs="宋体"/>
              </w:rPr>
              <w:t>1</w:t>
            </w:r>
            <w:r>
              <w:rPr>
                <w:rStyle w:val="68"/>
                <w:rFonts w:hint="eastAsia" w:ascii="宋体" w:hAnsi="宋体" w:cs="宋体"/>
              </w:rPr>
              <w:t>、提供企业近三年（</w:t>
            </w:r>
            <w:r>
              <w:rPr>
                <w:rStyle w:val="68"/>
                <w:rFonts w:ascii="宋体" w:hAnsi="宋体" w:cs="宋体"/>
              </w:rPr>
              <w:t>2018</w:t>
            </w:r>
            <w:r>
              <w:rPr>
                <w:rStyle w:val="68"/>
                <w:rFonts w:hint="eastAsia" w:ascii="宋体" w:hAnsi="宋体" w:cs="宋体"/>
              </w:rPr>
              <w:t>年</w:t>
            </w:r>
            <w:r>
              <w:rPr>
                <w:rStyle w:val="68"/>
                <w:rFonts w:ascii="宋体" w:hAnsi="宋体" w:cs="宋体"/>
              </w:rPr>
              <w:t>11</w:t>
            </w:r>
            <w:r>
              <w:rPr>
                <w:rStyle w:val="68"/>
                <w:rFonts w:hint="eastAsia" w:ascii="宋体" w:hAnsi="宋体" w:cs="宋体"/>
              </w:rPr>
              <w:t>月）至今完工的装修工程业绩（业绩金额≥</w:t>
            </w:r>
            <w:r>
              <w:rPr>
                <w:rStyle w:val="68"/>
                <w:rFonts w:ascii="宋体" w:hAnsi="宋体" w:cs="宋体"/>
                <w:b/>
                <w:bCs/>
                <w:u w:val="single"/>
              </w:rPr>
              <w:t>80</w:t>
            </w:r>
            <w:r>
              <w:rPr>
                <w:rStyle w:val="68"/>
                <w:rFonts w:hint="eastAsia" w:ascii="宋体" w:hAnsi="宋体" w:cs="宋体"/>
                <w:b/>
                <w:bCs/>
                <w:u w:val="single"/>
              </w:rPr>
              <w:t>万元</w:t>
            </w:r>
            <w:r>
              <w:rPr>
                <w:rStyle w:val="68"/>
                <w:rFonts w:hint="eastAsia" w:ascii="宋体" w:hAnsi="宋体" w:cs="宋体"/>
              </w:rPr>
              <w:t>），一个得</w:t>
            </w:r>
            <w:r>
              <w:rPr>
                <w:rStyle w:val="68"/>
                <w:rFonts w:ascii="宋体" w:hAnsi="宋体" w:cs="宋体"/>
              </w:rPr>
              <w:t>2</w:t>
            </w:r>
            <w:r>
              <w:rPr>
                <w:rStyle w:val="68"/>
                <w:rFonts w:hint="eastAsia" w:ascii="宋体" w:hAnsi="宋体" w:cs="宋体"/>
              </w:rPr>
              <w:t>分，最高得</w:t>
            </w:r>
            <w:r>
              <w:rPr>
                <w:rStyle w:val="68"/>
                <w:rFonts w:ascii="宋体" w:hAnsi="宋体" w:cs="宋体"/>
              </w:rPr>
              <w:t>6</w:t>
            </w:r>
            <w:r>
              <w:rPr>
                <w:rStyle w:val="68"/>
                <w:rFonts w:hint="eastAsia" w:ascii="宋体" w:hAnsi="宋体" w:cs="宋体"/>
              </w:rPr>
              <w:t>分；</w:t>
            </w:r>
          </w:p>
          <w:p>
            <w:pPr>
              <w:autoSpaceDE w:val="0"/>
              <w:autoSpaceDN w:val="0"/>
              <w:adjustRightInd w:val="0"/>
              <w:spacing w:line="360" w:lineRule="auto"/>
              <w:rPr>
                <w:rStyle w:val="68"/>
                <w:rFonts w:ascii="宋体" w:cs="宋体"/>
              </w:rPr>
            </w:pPr>
            <w:r>
              <w:rPr>
                <w:rStyle w:val="68"/>
                <w:rFonts w:ascii="宋体" w:cs="宋体"/>
              </w:rPr>
              <w:t>2</w:t>
            </w:r>
            <w:r>
              <w:rPr>
                <w:rStyle w:val="68"/>
                <w:rFonts w:hint="eastAsia" w:ascii="宋体" w:cs="宋体"/>
              </w:rPr>
              <w:t>、</w:t>
            </w:r>
            <w:r>
              <w:rPr>
                <w:rStyle w:val="68"/>
                <w:rFonts w:hint="eastAsia" w:ascii="宋体" w:hAnsi="宋体" w:cs="宋体"/>
              </w:rPr>
              <w:t>提供项目经理近三年（</w:t>
            </w:r>
            <w:r>
              <w:rPr>
                <w:rStyle w:val="68"/>
                <w:rFonts w:ascii="宋体" w:hAnsi="宋体" w:cs="宋体"/>
              </w:rPr>
              <w:t>2018</w:t>
            </w:r>
            <w:r>
              <w:rPr>
                <w:rStyle w:val="68"/>
                <w:rFonts w:hint="eastAsia" w:ascii="宋体" w:hAnsi="宋体" w:cs="宋体"/>
              </w:rPr>
              <w:t>年</w:t>
            </w:r>
            <w:r>
              <w:rPr>
                <w:rStyle w:val="68"/>
                <w:rFonts w:ascii="宋体" w:hAnsi="宋体" w:cs="宋体"/>
              </w:rPr>
              <w:t>11</w:t>
            </w:r>
            <w:r>
              <w:rPr>
                <w:rStyle w:val="68"/>
                <w:rFonts w:hint="eastAsia" w:ascii="宋体" w:hAnsi="宋体" w:cs="宋体"/>
              </w:rPr>
              <w:t>月）至今完工的装修工程业绩（业绩金额≥</w:t>
            </w:r>
            <w:r>
              <w:rPr>
                <w:rStyle w:val="68"/>
                <w:rFonts w:ascii="宋体" w:hAnsi="宋体" w:cs="宋体"/>
                <w:b/>
                <w:bCs/>
                <w:u w:val="single"/>
              </w:rPr>
              <w:t>80</w:t>
            </w:r>
            <w:r>
              <w:rPr>
                <w:rStyle w:val="68"/>
                <w:rFonts w:hint="eastAsia" w:ascii="宋体" w:hAnsi="宋体" w:cs="宋体"/>
                <w:b/>
                <w:bCs/>
                <w:u w:val="single"/>
              </w:rPr>
              <w:t>万元</w:t>
            </w:r>
            <w:r>
              <w:rPr>
                <w:rStyle w:val="68"/>
                <w:rFonts w:hint="eastAsia" w:ascii="宋体" w:hAnsi="宋体" w:cs="宋体"/>
              </w:rPr>
              <w:t>），一个得</w:t>
            </w:r>
            <w:r>
              <w:rPr>
                <w:rStyle w:val="68"/>
                <w:rFonts w:ascii="宋体" w:hAnsi="宋体" w:cs="宋体"/>
              </w:rPr>
              <w:t>2</w:t>
            </w:r>
            <w:r>
              <w:rPr>
                <w:rStyle w:val="68"/>
                <w:rFonts w:hint="eastAsia" w:ascii="宋体" w:hAnsi="宋体" w:cs="宋体"/>
              </w:rPr>
              <w:t>分，最高得</w:t>
            </w:r>
            <w:r>
              <w:rPr>
                <w:rStyle w:val="68"/>
                <w:rFonts w:ascii="宋体" w:hAnsi="宋体" w:cs="宋体"/>
              </w:rPr>
              <w:t>6</w:t>
            </w:r>
            <w:r>
              <w:rPr>
                <w:rStyle w:val="68"/>
                <w:rFonts w:hint="eastAsia" w:ascii="宋体" w:hAnsi="宋体" w:cs="宋体"/>
              </w:rPr>
              <w:t>分；</w:t>
            </w:r>
          </w:p>
          <w:p>
            <w:pPr>
              <w:autoSpaceDE w:val="0"/>
              <w:autoSpaceDN w:val="0"/>
              <w:adjustRightInd w:val="0"/>
              <w:spacing w:line="360" w:lineRule="auto"/>
              <w:rPr>
                <w:rStyle w:val="68"/>
                <w:rFonts w:ascii="宋体"/>
              </w:rPr>
            </w:pPr>
            <w:r>
              <w:rPr>
                <w:rStyle w:val="68"/>
                <w:rFonts w:ascii="宋体" w:hAnsi="宋体" w:cs="宋体"/>
              </w:rPr>
              <w:t>3</w:t>
            </w:r>
            <w:r>
              <w:rPr>
                <w:rStyle w:val="68"/>
                <w:rFonts w:hint="eastAsia" w:ascii="宋体" w:hAnsi="宋体" w:cs="宋体"/>
              </w:rPr>
              <w:t>、企业业绩与项目经理业绩不能重复计算得分。</w:t>
            </w:r>
          </w:p>
          <w:p>
            <w:pPr>
              <w:autoSpaceDE w:val="0"/>
              <w:autoSpaceDN w:val="0"/>
              <w:adjustRightInd w:val="0"/>
              <w:spacing w:line="360" w:lineRule="auto"/>
              <w:rPr>
                <w:rStyle w:val="68"/>
                <w:rFonts w:ascii="宋体"/>
              </w:rPr>
            </w:pPr>
            <w:r>
              <w:rPr>
                <w:rStyle w:val="68"/>
                <w:rFonts w:ascii="宋体" w:hAnsi="宋体" w:cs="宋体"/>
              </w:rPr>
              <w:t>(</w:t>
            </w:r>
            <w:r>
              <w:rPr>
                <w:rFonts w:hint="eastAsia" w:ascii="宋体" w:hAnsi="宋体" w:cs="宋体"/>
              </w:rPr>
              <w:t>以上两项要求必须</w:t>
            </w:r>
            <w:r>
              <w:rPr>
                <w:rStyle w:val="68"/>
                <w:rFonts w:hint="eastAsia" w:ascii="宋体" w:hAnsi="宋体" w:cs="宋体"/>
              </w:rPr>
              <w:t>提供中标（成交）通知书、工程施工合同和竣工验收单原件，未提供或不符合要求不得分</w:t>
            </w:r>
            <w:r>
              <w:rPr>
                <w:rStyle w:val="68"/>
                <w:rFonts w:ascii="宋体" w:hAnsi="宋体" w:cs="宋体"/>
              </w:rPr>
              <w:t>)</w:t>
            </w:r>
          </w:p>
        </w:tc>
        <w:tc>
          <w:tcPr>
            <w:tcW w:w="955" w:type="dxa"/>
            <w:vAlign w:val="center"/>
          </w:tcPr>
          <w:p>
            <w:pPr>
              <w:spacing w:line="360" w:lineRule="auto"/>
              <w:jc w:val="center"/>
              <w:rPr>
                <w:rFonts w:ascii="宋体"/>
              </w:rPr>
            </w:pPr>
            <w:r>
              <w:rPr>
                <w:rFonts w:ascii="宋体" w:hAnsi="宋体" w:cs="宋体"/>
              </w:rPr>
              <w:t>12</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7" w:hRule="atLeast"/>
          <w:jc w:val="center"/>
        </w:trPr>
        <w:tc>
          <w:tcPr>
            <w:tcW w:w="1155" w:type="dxa"/>
            <w:vAlign w:val="center"/>
          </w:tcPr>
          <w:p>
            <w:pPr>
              <w:spacing w:line="360" w:lineRule="auto"/>
              <w:jc w:val="center"/>
              <w:rPr>
                <w:rFonts w:ascii="宋体"/>
                <w:b/>
                <w:bCs/>
              </w:rPr>
            </w:pPr>
            <w:r>
              <w:rPr>
                <w:rFonts w:hint="eastAsia" w:ascii="宋体" w:hAnsi="宋体" w:cs="宋体"/>
                <w:b/>
                <w:bCs/>
              </w:rPr>
              <w:t>企业信誉</w:t>
            </w:r>
          </w:p>
        </w:tc>
        <w:tc>
          <w:tcPr>
            <w:tcW w:w="6804" w:type="dxa"/>
            <w:vAlign w:val="center"/>
          </w:tcPr>
          <w:p>
            <w:pPr>
              <w:autoSpaceDE w:val="0"/>
              <w:autoSpaceDN w:val="0"/>
              <w:adjustRightInd w:val="0"/>
              <w:spacing w:line="360" w:lineRule="auto"/>
              <w:rPr>
                <w:rStyle w:val="68"/>
                <w:rFonts w:ascii="宋体"/>
              </w:rPr>
            </w:pPr>
            <w:r>
              <w:rPr>
                <w:rStyle w:val="68"/>
                <w:rFonts w:ascii="宋体" w:hAnsi="宋体" w:cs="宋体"/>
              </w:rPr>
              <w:t>1</w:t>
            </w:r>
            <w:r>
              <w:rPr>
                <w:rStyle w:val="68"/>
                <w:rFonts w:hint="eastAsia" w:ascii="宋体" w:hAnsi="宋体" w:cs="宋体"/>
              </w:rPr>
              <w:t>、供应商具有有效的</w:t>
            </w:r>
            <w:r>
              <w:rPr>
                <w:rStyle w:val="68"/>
                <w:rFonts w:ascii="宋体" w:hAnsi="宋体" w:cs="宋体"/>
              </w:rPr>
              <w:t xml:space="preserve"> IS09001(GB/T19001) </w:t>
            </w:r>
            <w:r>
              <w:rPr>
                <w:rStyle w:val="68"/>
                <w:rFonts w:hint="eastAsia" w:ascii="宋体" w:hAnsi="宋体" w:cs="宋体"/>
              </w:rPr>
              <w:t>质量管理体系认证证书、</w:t>
            </w:r>
            <w:r>
              <w:rPr>
                <w:rStyle w:val="68"/>
                <w:rFonts w:ascii="宋体" w:hAnsi="宋体" w:cs="宋体"/>
              </w:rPr>
              <w:t>IS014001(GB/T24001)</w:t>
            </w:r>
            <w:r>
              <w:rPr>
                <w:rStyle w:val="68"/>
                <w:rFonts w:hint="eastAsia" w:ascii="宋体" w:hAnsi="宋体" w:cs="宋体"/>
              </w:rPr>
              <w:t>环境管理体系认证证书、</w:t>
            </w:r>
            <w:r>
              <w:rPr>
                <w:rStyle w:val="68"/>
                <w:rFonts w:ascii="宋体" w:hAnsi="宋体" w:cs="宋体"/>
              </w:rPr>
              <w:t>0HSAD18001(GB/T28001)</w:t>
            </w:r>
            <w:r>
              <w:rPr>
                <w:rStyle w:val="68"/>
                <w:rFonts w:hint="eastAsia" w:ascii="宋体" w:hAnsi="宋体" w:cs="宋体"/>
              </w:rPr>
              <w:t>职业健康安全管理体系认证证书的，一项得</w:t>
            </w:r>
            <w:r>
              <w:rPr>
                <w:rStyle w:val="68"/>
                <w:rFonts w:ascii="宋体" w:hAnsi="宋体" w:cs="宋体"/>
              </w:rPr>
              <w:t>1</w:t>
            </w:r>
            <w:r>
              <w:rPr>
                <w:rStyle w:val="68"/>
                <w:rFonts w:hint="eastAsia" w:ascii="宋体" w:hAnsi="宋体" w:cs="宋体"/>
              </w:rPr>
              <w:t>分，最高得</w:t>
            </w:r>
            <w:r>
              <w:rPr>
                <w:rStyle w:val="68"/>
                <w:rFonts w:ascii="宋体" w:hAnsi="宋体" w:cs="宋体"/>
              </w:rPr>
              <w:t xml:space="preserve"> 2</w:t>
            </w:r>
            <w:r>
              <w:rPr>
                <w:rStyle w:val="68"/>
                <w:rFonts w:hint="eastAsia" w:ascii="宋体" w:hAnsi="宋体" w:cs="宋体"/>
              </w:rPr>
              <w:t>分。</w:t>
            </w:r>
          </w:p>
          <w:p>
            <w:pPr>
              <w:autoSpaceDE w:val="0"/>
              <w:autoSpaceDN w:val="0"/>
              <w:adjustRightInd w:val="0"/>
              <w:spacing w:line="360" w:lineRule="auto"/>
              <w:rPr>
                <w:rStyle w:val="68"/>
                <w:rFonts w:ascii="宋体"/>
              </w:rPr>
            </w:pPr>
            <w:r>
              <w:rPr>
                <w:rStyle w:val="68"/>
                <w:rFonts w:ascii="宋体" w:hAnsi="宋体" w:cs="宋体"/>
              </w:rPr>
              <w:t>2</w:t>
            </w:r>
            <w:r>
              <w:rPr>
                <w:rStyle w:val="68"/>
                <w:rFonts w:hint="eastAsia" w:ascii="宋体" w:hAnsi="宋体" w:cs="宋体"/>
              </w:rPr>
              <w:t>、供应商</w:t>
            </w:r>
            <w:r>
              <w:rPr>
                <w:rFonts w:hint="eastAsia" w:ascii="宋体" w:hAnsi="宋体" w:cs="宋体"/>
              </w:rPr>
              <w:t>近两年（</w:t>
            </w:r>
            <w:r>
              <w:rPr>
                <w:rFonts w:ascii="宋体" w:hAnsi="宋体" w:cs="宋体"/>
              </w:rPr>
              <w:t>2019</w:t>
            </w:r>
            <w:r>
              <w:rPr>
                <w:rFonts w:hint="eastAsia" w:ascii="宋体" w:hAnsi="宋体" w:cs="宋体"/>
              </w:rPr>
              <w:t>年至今）来，</w:t>
            </w:r>
            <w:r>
              <w:rPr>
                <w:rStyle w:val="68"/>
                <w:rFonts w:hint="eastAsia" w:ascii="宋体" w:hAnsi="宋体" w:cs="宋体"/>
              </w:rPr>
              <w:t>具有企业信用评价</w:t>
            </w:r>
            <w:r>
              <w:rPr>
                <w:rStyle w:val="68"/>
                <w:rFonts w:ascii="宋体" w:hAnsi="宋体" w:cs="宋体"/>
              </w:rPr>
              <w:t xml:space="preserve"> AAA </w:t>
            </w:r>
            <w:r>
              <w:rPr>
                <w:rStyle w:val="68"/>
                <w:rFonts w:hint="eastAsia" w:ascii="宋体" w:hAnsi="宋体" w:cs="宋体"/>
              </w:rPr>
              <w:t>级证书和</w:t>
            </w:r>
            <w:r>
              <w:rPr>
                <w:rStyle w:val="68"/>
                <w:rFonts w:ascii="宋体" w:hAnsi="宋体" w:cs="宋体"/>
              </w:rPr>
              <w:t xml:space="preserve"> </w:t>
            </w:r>
            <w:r>
              <w:rPr>
                <w:rStyle w:val="68"/>
                <w:rFonts w:hint="eastAsia" w:ascii="宋体" w:hAnsi="宋体" w:cs="宋体"/>
              </w:rPr>
              <w:t>“守合同重信用”</w:t>
            </w:r>
            <w:r>
              <w:rPr>
                <w:rStyle w:val="68"/>
                <w:rFonts w:ascii="宋体" w:hAnsi="宋体" w:cs="宋体"/>
              </w:rPr>
              <w:t xml:space="preserve"> </w:t>
            </w:r>
            <w:r>
              <w:rPr>
                <w:rStyle w:val="68"/>
                <w:rFonts w:hint="eastAsia" w:ascii="宋体" w:hAnsi="宋体" w:cs="宋体"/>
              </w:rPr>
              <w:t>证书得</w:t>
            </w:r>
            <w:r>
              <w:rPr>
                <w:rStyle w:val="68"/>
                <w:rFonts w:ascii="宋体" w:hAnsi="宋体" w:cs="宋体"/>
              </w:rPr>
              <w:t xml:space="preserve">2 </w:t>
            </w:r>
            <w:r>
              <w:rPr>
                <w:rStyle w:val="68"/>
                <w:rFonts w:hint="eastAsia" w:ascii="宋体" w:hAnsi="宋体" w:cs="宋体"/>
              </w:rPr>
              <w:t>分。</w:t>
            </w:r>
          </w:p>
          <w:p>
            <w:pPr>
              <w:autoSpaceDE w:val="0"/>
              <w:autoSpaceDN w:val="0"/>
              <w:adjustRightInd w:val="0"/>
              <w:spacing w:line="360" w:lineRule="auto"/>
              <w:rPr>
                <w:rFonts w:ascii="宋体" w:cs="宋体"/>
              </w:rPr>
            </w:pPr>
            <w:r>
              <w:rPr>
                <w:rFonts w:ascii="宋体" w:hAnsi="宋体" w:cs="宋体"/>
              </w:rPr>
              <w:t>3</w:t>
            </w:r>
            <w:r>
              <w:rPr>
                <w:rFonts w:hint="eastAsia" w:ascii="宋体" w:hAnsi="宋体" w:cs="宋体"/>
              </w:rPr>
              <w:t>、供应商近一年（</w:t>
            </w:r>
            <w:r>
              <w:rPr>
                <w:rFonts w:ascii="宋体" w:hAnsi="宋体" w:cs="宋体"/>
              </w:rPr>
              <w:t>2020</w:t>
            </w:r>
            <w:r>
              <w:rPr>
                <w:rFonts w:hint="eastAsia" w:ascii="宋体" w:hAnsi="宋体" w:cs="宋体"/>
              </w:rPr>
              <w:t>年至今）来，在纳税信用评级中被评为</w:t>
            </w:r>
            <w:r>
              <w:rPr>
                <w:rFonts w:ascii="宋体" w:hAnsi="宋体" w:cs="宋体"/>
              </w:rPr>
              <w:t xml:space="preserve"> A </w:t>
            </w:r>
            <w:r>
              <w:rPr>
                <w:rFonts w:hint="eastAsia" w:ascii="宋体" w:hAnsi="宋体" w:cs="宋体"/>
              </w:rPr>
              <w:t>级信用得</w:t>
            </w:r>
            <w:r>
              <w:rPr>
                <w:rFonts w:ascii="宋体" w:hAnsi="宋体" w:cs="宋体"/>
              </w:rPr>
              <w:t>2</w:t>
            </w:r>
            <w:r>
              <w:rPr>
                <w:rFonts w:hint="eastAsia" w:ascii="宋体" w:hAnsi="宋体" w:cs="宋体"/>
              </w:rPr>
              <w:t>分。（提供信用中国网站守信红名单</w:t>
            </w:r>
            <w:r>
              <w:rPr>
                <w:rFonts w:ascii="宋体" w:hAnsi="宋体" w:cs="宋体"/>
              </w:rPr>
              <w:t xml:space="preserve"> A </w:t>
            </w:r>
            <w:r>
              <w:rPr>
                <w:rFonts w:hint="eastAsia" w:ascii="宋体" w:hAnsi="宋体" w:cs="宋体"/>
              </w:rPr>
              <w:t>级纳税人网页查询证明）</w:t>
            </w:r>
          </w:p>
          <w:p>
            <w:pPr>
              <w:autoSpaceDE w:val="0"/>
              <w:autoSpaceDN w:val="0"/>
              <w:adjustRightInd w:val="0"/>
              <w:spacing w:line="360" w:lineRule="auto"/>
              <w:rPr>
                <w:rFonts w:ascii="宋体"/>
              </w:rPr>
            </w:pPr>
            <w:r>
              <w:rPr>
                <w:rStyle w:val="68"/>
                <w:rFonts w:ascii="宋体" w:hAnsi="宋体" w:cs="宋体"/>
              </w:rPr>
              <w:t>(</w:t>
            </w:r>
            <w:r>
              <w:rPr>
                <w:rFonts w:hint="eastAsia" w:ascii="宋体" w:hAnsi="宋体" w:cs="宋体"/>
              </w:rPr>
              <w:t>以上三项要求必须提供相关证明材料</w:t>
            </w:r>
            <w:r>
              <w:rPr>
                <w:rStyle w:val="68"/>
                <w:rFonts w:hint="eastAsia" w:ascii="宋体" w:hAnsi="宋体" w:cs="宋体"/>
              </w:rPr>
              <w:t>，未提供或不符合要求不得分）。</w:t>
            </w:r>
          </w:p>
        </w:tc>
        <w:tc>
          <w:tcPr>
            <w:tcW w:w="955" w:type="dxa"/>
            <w:vAlign w:val="center"/>
          </w:tcPr>
          <w:p>
            <w:pPr>
              <w:spacing w:line="360" w:lineRule="auto"/>
              <w:jc w:val="center"/>
              <w:rPr>
                <w:rFonts w:ascii="宋体"/>
              </w:rPr>
            </w:pPr>
            <w:r>
              <w:rPr>
                <w:rFonts w:ascii="宋体" w:hAnsi="宋体" w:cs="宋体"/>
              </w:rPr>
              <w:t>6</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7959" w:type="dxa"/>
            <w:gridSpan w:val="2"/>
            <w:vAlign w:val="center"/>
          </w:tcPr>
          <w:p>
            <w:pPr>
              <w:tabs>
                <w:tab w:val="left" w:pos="855"/>
              </w:tabs>
              <w:spacing w:line="360" w:lineRule="auto"/>
              <w:ind w:firstLine="2530" w:firstLineChars="1200"/>
              <w:rPr>
                <w:rFonts w:ascii="宋体"/>
                <w:b/>
                <w:bCs/>
              </w:rPr>
            </w:pPr>
            <w:r>
              <w:rPr>
                <w:rFonts w:hint="eastAsia" w:ascii="宋体" w:hAnsi="宋体" w:cs="宋体"/>
                <w:b/>
                <w:bCs/>
              </w:rPr>
              <w:t>技术标评分细则</w:t>
            </w:r>
            <w:r>
              <w:rPr>
                <w:rFonts w:ascii="宋体" w:hAnsi="宋体" w:cs="宋体"/>
                <w:b/>
                <w:bCs/>
              </w:rPr>
              <w:t xml:space="preserve">   </w:t>
            </w:r>
            <w:r>
              <w:rPr>
                <w:rFonts w:hint="eastAsia" w:ascii="宋体" w:hAnsi="宋体" w:cs="宋体"/>
                <w:b/>
                <w:bCs/>
              </w:rPr>
              <w:t>（</w:t>
            </w:r>
            <w:r>
              <w:rPr>
                <w:rFonts w:ascii="宋体" w:hAnsi="宋体" w:cs="宋体"/>
                <w:b/>
                <w:bCs/>
              </w:rPr>
              <w:t>25</w:t>
            </w:r>
            <w:r>
              <w:rPr>
                <w:rFonts w:hint="eastAsia" w:ascii="宋体" w:hAnsi="宋体" w:cs="宋体"/>
                <w:b/>
                <w:bCs/>
              </w:rPr>
              <w:t>分）</w:t>
            </w:r>
          </w:p>
        </w:tc>
        <w:tc>
          <w:tcPr>
            <w:tcW w:w="955" w:type="dxa"/>
          </w:tcPr>
          <w:p>
            <w:pPr>
              <w:tabs>
                <w:tab w:val="left" w:pos="855"/>
              </w:tabs>
              <w:spacing w:line="360" w:lineRule="auto"/>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jc w:val="center"/>
        </w:trPr>
        <w:tc>
          <w:tcPr>
            <w:tcW w:w="1155" w:type="dxa"/>
            <w:vAlign w:val="center"/>
          </w:tcPr>
          <w:p>
            <w:pPr>
              <w:spacing w:line="360" w:lineRule="auto"/>
              <w:jc w:val="center"/>
              <w:rPr>
                <w:rFonts w:ascii="宋体"/>
              </w:rPr>
            </w:pPr>
            <w:r>
              <w:rPr>
                <w:rFonts w:hint="eastAsia" w:ascii="宋体" w:hAnsi="宋体" w:cs="宋体"/>
                <w:b/>
                <w:bCs/>
              </w:rPr>
              <w:t>主要施工方案</w:t>
            </w:r>
          </w:p>
        </w:tc>
        <w:tc>
          <w:tcPr>
            <w:tcW w:w="6804" w:type="dxa"/>
            <w:vAlign w:val="center"/>
          </w:tcPr>
          <w:p>
            <w:pPr>
              <w:autoSpaceDE w:val="0"/>
              <w:autoSpaceDN w:val="0"/>
              <w:adjustRightInd w:val="0"/>
              <w:spacing w:line="360" w:lineRule="auto"/>
              <w:rPr>
                <w:rStyle w:val="68"/>
                <w:rFonts w:ascii="宋体"/>
              </w:rPr>
            </w:pPr>
            <w:r>
              <w:rPr>
                <w:rStyle w:val="68"/>
                <w:rFonts w:hint="eastAsia" w:ascii="宋体" w:hAnsi="宋体" w:cs="宋体"/>
              </w:rPr>
              <w:t>科学、合理、针对性强得</w:t>
            </w:r>
            <w:r>
              <w:rPr>
                <w:rStyle w:val="68"/>
                <w:rFonts w:ascii="宋体" w:hAnsi="宋体" w:cs="宋体"/>
              </w:rPr>
              <w:t>10-13</w:t>
            </w:r>
            <w:r>
              <w:rPr>
                <w:rStyle w:val="68"/>
                <w:rFonts w:hint="eastAsia" w:ascii="宋体" w:hAnsi="宋体" w:cs="宋体"/>
              </w:rPr>
              <w:t>分，合理、可行得</w:t>
            </w:r>
            <w:r>
              <w:rPr>
                <w:rStyle w:val="68"/>
                <w:rFonts w:ascii="宋体" w:hAnsi="宋体" w:cs="宋体"/>
              </w:rPr>
              <w:t>6-9</w:t>
            </w:r>
            <w:r>
              <w:rPr>
                <w:rStyle w:val="68"/>
                <w:rFonts w:hint="eastAsia" w:ascii="宋体" w:hAnsi="宋体" w:cs="宋体"/>
              </w:rPr>
              <w:t>分，欠合理、基本可行得</w:t>
            </w:r>
            <w:r>
              <w:rPr>
                <w:rStyle w:val="68"/>
                <w:rFonts w:ascii="宋体" w:hAnsi="宋体" w:cs="宋体"/>
              </w:rPr>
              <w:t>1-5</w:t>
            </w:r>
            <w:r>
              <w:rPr>
                <w:rStyle w:val="68"/>
                <w:rFonts w:hint="eastAsia" w:ascii="宋体" w:hAnsi="宋体" w:cs="宋体"/>
              </w:rPr>
              <w:t>分，不合理、不可行得</w:t>
            </w:r>
            <w:r>
              <w:rPr>
                <w:rStyle w:val="68"/>
                <w:rFonts w:ascii="宋体" w:cs="宋体"/>
              </w:rPr>
              <w:t>0</w:t>
            </w:r>
            <w:r>
              <w:rPr>
                <w:rStyle w:val="68"/>
                <w:rFonts w:hint="eastAsia" w:ascii="宋体" w:hAnsi="宋体" w:cs="宋体"/>
              </w:rPr>
              <w:t>分。</w:t>
            </w:r>
          </w:p>
          <w:p>
            <w:pPr>
              <w:autoSpaceDE w:val="0"/>
              <w:autoSpaceDN w:val="0"/>
              <w:adjustRightInd w:val="0"/>
              <w:spacing w:line="360" w:lineRule="auto"/>
              <w:rPr>
                <w:rFonts w:ascii="宋体"/>
              </w:rPr>
            </w:pPr>
            <w:r>
              <w:rPr>
                <w:rStyle w:val="68"/>
                <w:rFonts w:hint="eastAsia" w:ascii="宋体" w:hAnsi="宋体" w:cs="宋体"/>
              </w:rPr>
              <w:t>根据合理性和可行性，评委酌情打分。</w:t>
            </w:r>
            <w:r>
              <w:rPr>
                <w:rStyle w:val="68"/>
                <w:rFonts w:ascii="宋体" w:hAnsi="宋体" w:cs="宋体"/>
              </w:rPr>
              <w:t xml:space="preserve"> </w:t>
            </w:r>
          </w:p>
        </w:tc>
        <w:tc>
          <w:tcPr>
            <w:tcW w:w="955" w:type="dxa"/>
            <w:vAlign w:val="center"/>
          </w:tcPr>
          <w:p>
            <w:pPr>
              <w:tabs>
                <w:tab w:val="left" w:pos="855"/>
              </w:tabs>
              <w:spacing w:line="360" w:lineRule="auto"/>
              <w:jc w:val="center"/>
              <w:rPr>
                <w:rFonts w:ascii="宋体"/>
              </w:rPr>
            </w:pPr>
            <w:r>
              <w:rPr>
                <w:rFonts w:ascii="宋体" w:hAnsi="宋体" w:cs="宋体"/>
              </w:rPr>
              <w:t>13</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jc w:val="center"/>
        </w:trPr>
        <w:tc>
          <w:tcPr>
            <w:tcW w:w="1155" w:type="dxa"/>
            <w:vAlign w:val="center"/>
          </w:tcPr>
          <w:p>
            <w:pPr>
              <w:spacing w:line="360" w:lineRule="auto"/>
              <w:jc w:val="center"/>
              <w:rPr>
                <w:rFonts w:ascii="宋体"/>
              </w:rPr>
            </w:pPr>
            <w:r>
              <w:rPr>
                <w:rFonts w:hint="eastAsia" w:ascii="宋体" w:hAnsi="宋体" w:cs="宋体"/>
                <w:b/>
                <w:bCs/>
              </w:rPr>
              <w:t>施工准备和人力资源计划</w:t>
            </w:r>
          </w:p>
        </w:tc>
        <w:tc>
          <w:tcPr>
            <w:tcW w:w="6804" w:type="dxa"/>
            <w:vAlign w:val="center"/>
          </w:tcPr>
          <w:p>
            <w:pPr>
              <w:autoSpaceDE w:val="0"/>
              <w:autoSpaceDN w:val="0"/>
              <w:adjustRightInd w:val="0"/>
              <w:spacing w:line="360" w:lineRule="auto"/>
              <w:rPr>
                <w:rStyle w:val="68"/>
                <w:rFonts w:ascii="宋体"/>
              </w:rPr>
            </w:pPr>
            <w:r>
              <w:rPr>
                <w:rStyle w:val="68"/>
                <w:rFonts w:hint="eastAsia" w:ascii="宋体" w:hAnsi="宋体" w:cs="宋体"/>
              </w:rPr>
              <w:t>科学、合理、针对性强得</w:t>
            </w:r>
            <w:r>
              <w:rPr>
                <w:rStyle w:val="68"/>
                <w:rFonts w:ascii="宋体" w:hAnsi="宋体" w:cs="宋体"/>
              </w:rPr>
              <w:t>4</w:t>
            </w:r>
            <w:r>
              <w:rPr>
                <w:rStyle w:val="68"/>
                <w:rFonts w:hint="eastAsia" w:ascii="宋体" w:hAnsi="宋体" w:cs="宋体"/>
              </w:rPr>
              <w:t>分，合理、可行得</w:t>
            </w:r>
            <w:r>
              <w:rPr>
                <w:rStyle w:val="68"/>
                <w:rFonts w:ascii="宋体" w:hAnsi="宋体" w:cs="宋体"/>
              </w:rPr>
              <w:t>2-3</w:t>
            </w:r>
            <w:r>
              <w:rPr>
                <w:rStyle w:val="68"/>
                <w:rFonts w:hint="eastAsia" w:ascii="宋体" w:hAnsi="宋体" w:cs="宋体"/>
              </w:rPr>
              <w:t>分，欠合理、基本可行得</w:t>
            </w:r>
            <w:r>
              <w:rPr>
                <w:rStyle w:val="68"/>
                <w:rFonts w:ascii="宋体" w:hAnsi="宋体" w:cs="宋体"/>
              </w:rPr>
              <w:t>1</w:t>
            </w:r>
            <w:r>
              <w:rPr>
                <w:rStyle w:val="68"/>
                <w:rFonts w:hint="eastAsia" w:ascii="宋体" w:hAnsi="宋体" w:cs="宋体"/>
              </w:rPr>
              <w:t>分，不合理、不可行得</w:t>
            </w:r>
            <w:r>
              <w:rPr>
                <w:rStyle w:val="68"/>
                <w:rFonts w:ascii="宋体" w:cs="宋体"/>
              </w:rPr>
              <w:t>0</w:t>
            </w:r>
            <w:r>
              <w:rPr>
                <w:rStyle w:val="68"/>
                <w:rFonts w:hint="eastAsia" w:ascii="宋体" w:hAnsi="宋体" w:cs="宋体"/>
              </w:rPr>
              <w:t>分。</w:t>
            </w:r>
            <w:r>
              <w:rPr>
                <w:rStyle w:val="68"/>
                <w:rFonts w:ascii="宋体" w:hAnsi="宋体" w:cs="宋体"/>
              </w:rPr>
              <w:t xml:space="preserve"> </w:t>
            </w:r>
          </w:p>
          <w:p>
            <w:pPr>
              <w:autoSpaceDE w:val="0"/>
              <w:autoSpaceDN w:val="0"/>
              <w:adjustRightInd w:val="0"/>
              <w:spacing w:line="360" w:lineRule="auto"/>
              <w:rPr>
                <w:rFonts w:ascii="宋体"/>
              </w:rPr>
            </w:pPr>
            <w:r>
              <w:rPr>
                <w:rStyle w:val="68"/>
                <w:rFonts w:hint="eastAsia" w:ascii="宋体" w:hAnsi="宋体" w:cs="宋体"/>
              </w:rPr>
              <w:t>根据合理性和可行性，评委酌情打分</w:t>
            </w:r>
          </w:p>
        </w:tc>
        <w:tc>
          <w:tcPr>
            <w:tcW w:w="955" w:type="dxa"/>
            <w:vAlign w:val="center"/>
          </w:tcPr>
          <w:p>
            <w:pPr>
              <w:spacing w:line="360" w:lineRule="auto"/>
              <w:jc w:val="center"/>
              <w:rPr>
                <w:rFonts w:ascii="宋体"/>
              </w:rPr>
            </w:pPr>
            <w:r>
              <w:rPr>
                <w:rFonts w:ascii="宋体" w:hAnsi="宋体" w:cs="宋体"/>
              </w:rPr>
              <w:t>4</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9" w:hRule="atLeast"/>
          <w:jc w:val="center"/>
        </w:trPr>
        <w:tc>
          <w:tcPr>
            <w:tcW w:w="1155" w:type="dxa"/>
            <w:vAlign w:val="center"/>
          </w:tcPr>
          <w:p>
            <w:pPr>
              <w:spacing w:line="360" w:lineRule="auto"/>
              <w:jc w:val="center"/>
              <w:rPr>
                <w:rFonts w:ascii="宋体"/>
                <w:b/>
                <w:bCs/>
              </w:rPr>
            </w:pPr>
            <w:r>
              <w:rPr>
                <w:rFonts w:hint="eastAsia" w:ascii="宋体" w:hAnsi="宋体" w:cs="宋体"/>
                <w:b/>
                <w:bCs/>
              </w:rPr>
              <w:t>施工工期计划</w:t>
            </w:r>
          </w:p>
        </w:tc>
        <w:tc>
          <w:tcPr>
            <w:tcW w:w="6804" w:type="dxa"/>
            <w:vAlign w:val="center"/>
          </w:tcPr>
          <w:p>
            <w:pPr>
              <w:autoSpaceDE w:val="0"/>
              <w:autoSpaceDN w:val="0"/>
              <w:adjustRightInd w:val="0"/>
              <w:spacing w:line="360" w:lineRule="auto"/>
              <w:rPr>
                <w:rStyle w:val="68"/>
                <w:rFonts w:ascii="宋体"/>
              </w:rPr>
            </w:pPr>
            <w:r>
              <w:rPr>
                <w:rStyle w:val="68"/>
                <w:rFonts w:hint="eastAsia" w:ascii="宋体" w:hAnsi="宋体" w:cs="宋体"/>
              </w:rPr>
              <w:t>科学、合理、针对性强得</w:t>
            </w:r>
            <w:r>
              <w:rPr>
                <w:rStyle w:val="68"/>
                <w:rFonts w:ascii="宋体" w:hAnsi="宋体" w:cs="宋体"/>
              </w:rPr>
              <w:t>4</w:t>
            </w:r>
            <w:r>
              <w:rPr>
                <w:rStyle w:val="68"/>
                <w:rFonts w:hint="eastAsia" w:ascii="宋体" w:hAnsi="宋体" w:cs="宋体"/>
              </w:rPr>
              <w:t>分，合理、可行得</w:t>
            </w:r>
            <w:r>
              <w:rPr>
                <w:rStyle w:val="68"/>
                <w:rFonts w:ascii="宋体" w:hAnsi="宋体" w:cs="宋体"/>
              </w:rPr>
              <w:t>2-3</w:t>
            </w:r>
            <w:r>
              <w:rPr>
                <w:rStyle w:val="68"/>
                <w:rFonts w:hint="eastAsia" w:ascii="宋体" w:hAnsi="宋体" w:cs="宋体"/>
              </w:rPr>
              <w:t>分，欠合理、基本可行得</w:t>
            </w:r>
            <w:r>
              <w:rPr>
                <w:rStyle w:val="68"/>
                <w:rFonts w:ascii="宋体" w:hAnsi="宋体" w:cs="宋体"/>
              </w:rPr>
              <w:t>1</w:t>
            </w:r>
            <w:r>
              <w:rPr>
                <w:rStyle w:val="68"/>
                <w:rFonts w:hint="eastAsia" w:ascii="宋体" w:hAnsi="宋体" w:cs="宋体"/>
              </w:rPr>
              <w:t>分，不合理、不可行得</w:t>
            </w:r>
            <w:r>
              <w:rPr>
                <w:rStyle w:val="68"/>
                <w:rFonts w:ascii="宋体" w:cs="宋体"/>
              </w:rPr>
              <w:t>0</w:t>
            </w:r>
            <w:r>
              <w:rPr>
                <w:rStyle w:val="68"/>
                <w:rFonts w:hint="eastAsia" w:ascii="宋体" w:hAnsi="宋体" w:cs="宋体"/>
              </w:rPr>
              <w:t>分。</w:t>
            </w:r>
          </w:p>
          <w:p>
            <w:pPr>
              <w:autoSpaceDE w:val="0"/>
              <w:autoSpaceDN w:val="0"/>
              <w:adjustRightInd w:val="0"/>
              <w:spacing w:line="360" w:lineRule="auto"/>
              <w:rPr>
                <w:rFonts w:ascii="宋体"/>
              </w:rPr>
            </w:pPr>
            <w:r>
              <w:rPr>
                <w:rStyle w:val="68"/>
                <w:rFonts w:hint="eastAsia" w:ascii="宋体" w:hAnsi="宋体" w:cs="宋体"/>
              </w:rPr>
              <w:t>根据合理性和可行性，</w:t>
            </w:r>
            <w:r>
              <w:rPr>
                <w:rFonts w:hint="eastAsia" w:ascii="宋体" w:hAnsi="宋体" w:cs="宋体"/>
              </w:rPr>
              <w:t>评委酌情打分。</w:t>
            </w:r>
            <w:r>
              <w:rPr>
                <w:rFonts w:ascii="宋体" w:hAnsi="宋体" w:cs="宋体"/>
              </w:rPr>
              <w:t xml:space="preserve"> </w:t>
            </w:r>
          </w:p>
        </w:tc>
        <w:tc>
          <w:tcPr>
            <w:tcW w:w="955" w:type="dxa"/>
            <w:vAlign w:val="center"/>
          </w:tcPr>
          <w:p>
            <w:pPr>
              <w:spacing w:line="360" w:lineRule="auto"/>
              <w:jc w:val="center"/>
              <w:rPr>
                <w:rFonts w:ascii="宋体"/>
              </w:rPr>
            </w:pPr>
            <w:r>
              <w:rPr>
                <w:rFonts w:ascii="宋体" w:hAnsi="宋体" w:cs="宋体"/>
              </w:rPr>
              <w:t>4</w:t>
            </w:r>
            <w:r>
              <w:rPr>
                <w:rFonts w:hint="eastAsia" w:ascii="宋体" w:hAnsi="宋体" w:cs="宋体"/>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1155" w:type="dxa"/>
            <w:vAlign w:val="center"/>
          </w:tcPr>
          <w:p>
            <w:pPr>
              <w:spacing w:line="360" w:lineRule="auto"/>
              <w:jc w:val="center"/>
              <w:rPr>
                <w:rFonts w:ascii="宋体"/>
                <w:b/>
                <w:bCs/>
              </w:rPr>
            </w:pPr>
            <w:r>
              <w:rPr>
                <w:rFonts w:hint="eastAsia" w:ascii="宋体" w:hAnsi="宋体" w:cs="宋体"/>
                <w:b/>
                <w:bCs/>
              </w:rPr>
              <w:t>安全生产计划</w:t>
            </w:r>
          </w:p>
        </w:tc>
        <w:tc>
          <w:tcPr>
            <w:tcW w:w="6804" w:type="dxa"/>
            <w:vAlign w:val="center"/>
          </w:tcPr>
          <w:p>
            <w:pPr>
              <w:autoSpaceDE w:val="0"/>
              <w:autoSpaceDN w:val="0"/>
              <w:adjustRightInd w:val="0"/>
              <w:spacing w:line="360" w:lineRule="auto"/>
              <w:rPr>
                <w:rFonts w:ascii="宋体"/>
              </w:rPr>
            </w:pPr>
            <w:r>
              <w:rPr>
                <w:rStyle w:val="68"/>
                <w:rFonts w:hint="eastAsia" w:ascii="宋体" w:hAnsi="宋体" w:cs="宋体"/>
              </w:rPr>
              <w:t>科学、合理、针对性强得</w:t>
            </w:r>
            <w:r>
              <w:rPr>
                <w:rStyle w:val="68"/>
                <w:rFonts w:ascii="宋体" w:hAnsi="宋体" w:cs="宋体"/>
              </w:rPr>
              <w:t>4</w:t>
            </w:r>
            <w:r>
              <w:rPr>
                <w:rStyle w:val="68"/>
                <w:rFonts w:hint="eastAsia" w:ascii="宋体" w:hAnsi="宋体" w:cs="宋体"/>
              </w:rPr>
              <w:t>分，合理、可行得</w:t>
            </w:r>
            <w:r>
              <w:rPr>
                <w:rStyle w:val="68"/>
                <w:rFonts w:ascii="宋体" w:hAnsi="宋体" w:cs="宋体"/>
              </w:rPr>
              <w:t>2-3</w:t>
            </w:r>
            <w:r>
              <w:rPr>
                <w:rStyle w:val="68"/>
                <w:rFonts w:hint="eastAsia" w:ascii="宋体" w:hAnsi="宋体" w:cs="宋体"/>
              </w:rPr>
              <w:t>分，欠合理、基本可行得</w:t>
            </w:r>
            <w:r>
              <w:rPr>
                <w:rStyle w:val="68"/>
                <w:rFonts w:ascii="宋体" w:hAnsi="宋体" w:cs="宋体"/>
              </w:rPr>
              <w:t>1</w:t>
            </w:r>
            <w:r>
              <w:rPr>
                <w:rStyle w:val="68"/>
                <w:rFonts w:hint="eastAsia" w:ascii="宋体" w:hAnsi="宋体" w:cs="宋体"/>
              </w:rPr>
              <w:t>分，不合理、不可行得</w:t>
            </w:r>
            <w:r>
              <w:rPr>
                <w:rStyle w:val="68"/>
                <w:rFonts w:ascii="宋体" w:cs="宋体"/>
              </w:rPr>
              <w:t>0</w:t>
            </w:r>
            <w:r>
              <w:rPr>
                <w:rStyle w:val="68"/>
                <w:rFonts w:hint="eastAsia" w:ascii="宋体" w:hAnsi="宋体" w:cs="宋体"/>
              </w:rPr>
              <w:t>分。</w:t>
            </w:r>
            <w:r>
              <w:rPr>
                <w:rStyle w:val="68"/>
                <w:rFonts w:ascii="宋体" w:hAnsi="宋体" w:cs="宋体"/>
              </w:rPr>
              <w:t xml:space="preserve"> </w:t>
            </w:r>
          </w:p>
          <w:p>
            <w:pPr>
              <w:autoSpaceDE w:val="0"/>
              <w:autoSpaceDN w:val="0"/>
              <w:adjustRightInd w:val="0"/>
              <w:spacing w:line="360" w:lineRule="auto"/>
              <w:rPr>
                <w:rFonts w:ascii="宋体"/>
              </w:rPr>
            </w:pPr>
            <w:r>
              <w:rPr>
                <w:rStyle w:val="68"/>
                <w:rFonts w:hint="eastAsia" w:ascii="宋体" w:hAnsi="宋体" w:cs="宋体"/>
              </w:rPr>
              <w:t>根据合理性和可行性，</w:t>
            </w:r>
            <w:r>
              <w:rPr>
                <w:rFonts w:hint="eastAsia" w:ascii="宋体" w:hAnsi="宋体" w:cs="宋体"/>
              </w:rPr>
              <w:t>评委酌情打分。</w:t>
            </w:r>
            <w:r>
              <w:rPr>
                <w:rFonts w:ascii="宋体" w:hAnsi="宋体" w:cs="宋体"/>
              </w:rPr>
              <w:t xml:space="preserve"> </w:t>
            </w:r>
          </w:p>
        </w:tc>
        <w:tc>
          <w:tcPr>
            <w:tcW w:w="955" w:type="dxa"/>
            <w:vAlign w:val="center"/>
          </w:tcPr>
          <w:p>
            <w:pPr>
              <w:spacing w:line="360" w:lineRule="auto"/>
              <w:jc w:val="center"/>
              <w:rPr>
                <w:rFonts w:ascii="宋体"/>
              </w:rPr>
            </w:pPr>
            <w:r>
              <w:rPr>
                <w:rFonts w:ascii="宋体" w:hAnsi="宋体" w:cs="宋体"/>
              </w:rPr>
              <w:t>4</w:t>
            </w:r>
            <w:r>
              <w:rPr>
                <w:rFonts w:hint="eastAsia" w:ascii="宋体" w:hAnsi="宋体" w:cs="宋体"/>
              </w:rPr>
              <w:t>分</w:t>
            </w:r>
          </w:p>
        </w:tc>
      </w:tr>
    </w:tbl>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500" w:lineRule="exact"/>
        <w:jc w:val="center"/>
        <w:outlineLvl w:val="0"/>
        <w:rPr>
          <w:rFonts w:ascii="Times New Roman" w:hAnsi="Times New Roman"/>
          <w:b/>
          <w:bCs/>
          <w:sz w:val="36"/>
          <w:szCs w:val="36"/>
        </w:rPr>
      </w:pPr>
    </w:p>
    <w:p>
      <w:pPr>
        <w:spacing w:line="240" w:lineRule="atLeast"/>
        <w:rPr>
          <w:rFonts w:ascii="Times New Roman" w:hAnsi="Times New Roman"/>
          <w:b/>
          <w:bCs/>
          <w:sz w:val="36"/>
          <w:szCs w:val="36"/>
        </w:rPr>
      </w:pPr>
    </w:p>
    <w:p>
      <w:pPr>
        <w:spacing w:line="240" w:lineRule="atLeast"/>
        <w:rPr>
          <w:rFonts w:ascii="Times New Roman" w:hAnsi="Times New Roman"/>
          <w:b/>
          <w:bCs/>
          <w:sz w:val="36"/>
          <w:szCs w:val="36"/>
        </w:rPr>
      </w:pPr>
    </w:p>
    <w:p>
      <w:pPr>
        <w:spacing w:line="240" w:lineRule="atLeast"/>
        <w:jc w:val="center"/>
        <w:rPr>
          <w:rFonts w:ascii="宋体" w:hAnsi="宋体"/>
          <w:b/>
          <w:bCs/>
        </w:rPr>
      </w:pPr>
      <w:r>
        <w:rPr>
          <w:rFonts w:hint="eastAsia" w:ascii="Times New Roman" w:hAnsi="Times New Roman"/>
          <w:b/>
          <w:bCs/>
          <w:sz w:val="36"/>
          <w:szCs w:val="36"/>
        </w:rPr>
        <w:t>第五章合同条款</w:t>
      </w:r>
      <w:bookmarkEnd w:id="19"/>
    </w:p>
    <w:p>
      <w:pPr>
        <w:spacing w:line="360" w:lineRule="auto"/>
        <w:jc w:val="center"/>
        <w:rPr>
          <w:rFonts w:ascii="宋体" w:hAnsi="宋体"/>
        </w:rPr>
      </w:pPr>
      <w:bookmarkStart w:id="20" w:name="_Toc26857"/>
      <w:r>
        <w:rPr>
          <w:rFonts w:hint="eastAsia" w:ascii="宋体" w:hAnsi="宋体"/>
        </w:rPr>
        <w:t>(以下合同书仅供参考)</w:t>
      </w:r>
    </w:p>
    <w:bookmarkEnd w:id="20"/>
    <w:p>
      <w:pPr>
        <w:spacing w:line="360" w:lineRule="auto"/>
        <w:rPr>
          <w:rFonts w:asciiTheme="minorEastAsia" w:hAnsiTheme="minorEastAsia" w:eastAsiaTheme="minorEastAsia"/>
        </w:rPr>
      </w:pPr>
    </w:p>
    <w:p>
      <w:pPr>
        <w:spacing w:line="360" w:lineRule="auto"/>
        <w:rPr>
          <w:rFonts w:asciiTheme="minorEastAsia" w:hAnsiTheme="minorEastAsia" w:eastAsiaTheme="minorEastAsia"/>
          <w:u w:val="single"/>
        </w:rPr>
      </w:pPr>
      <w:r>
        <w:rPr>
          <w:rFonts w:hint="eastAsia" w:asciiTheme="minorEastAsia" w:hAnsiTheme="minorEastAsia" w:eastAsiaTheme="minorEastAsia"/>
        </w:rPr>
        <w:t>甲方：</w:t>
      </w:r>
      <w:r>
        <w:rPr>
          <w:rFonts w:hint="eastAsia" w:asciiTheme="minorEastAsia" w:hAnsiTheme="minorEastAsia" w:eastAsiaTheme="minorEastAsia"/>
          <w:u w:val="single"/>
        </w:rPr>
        <w:t>黄石金安投资集团有限公司</w:t>
      </w:r>
    </w:p>
    <w:p>
      <w:pPr>
        <w:spacing w:line="360" w:lineRule="auto"/>
        <w:rPr>
          <w:rFonts w:asciiTheme="minorEastAsia" w:hAnsiTheme="minorEastAsia" w:eastAsiaTheme="minorEastAsia"/>
          <w:u w:val="single"/>
        </w:rPr>
      </w:pPr>
      <w:r>
        <w:rPr>
          <w:rFonts w:hint="eastAsia" w:asciiTheme="minorEastAsia" w:hAnsiTheme="minorEastAsia" w:eastAsiaTheme="minorEastAsia"/>
        </w:rPr>
        <w:t>乙方：</w:t>
      </w:r>
      <w:r>
        <w:rPr>
          <w:rFonts w:hint="eastAsia" w:asciiTheme="minorEastAsia" w:hAnsiTheme="minorEastAsia" w:eastAsiaTheme="minorEastAsia"/>
          <w:u w:val="single"/>
        </w:rPr>
        <w:t xml:space="preserve">                        </w:t>
      </w:r>
    </w:p>
    <w:p>
      <w:pPr>
        <w:spacing w:line="360" w:lineRule="auto"/>
        <w:ind w:firstLine="420" w:firstLineChars="200"/>
        <w:rPr>
          <w:rFonts w:asciiTheme="minorEastAsia" w:hAnsiTheme="minorEastAsia" w:eastAsiaTheme="minorEastAsia"/>
        </w:rPr>
      </w:pP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双方在平等、自愿、相互信任的基础，按照《中华人民共和国民法典》、《建筑安装工程承包合同条例》、《房屋建筑工程质量保修办法》等法律法规，甲方公开竞争性磋商公告和乙方投标文件的相关规定，结合本项目实际情况，经双方友好协商达成如下协议，以资共同遵守执行。</w:t>
      </w:r>
    </w:p>
    <w:p>
      <w:pPr>
        <w:spacing w:line="360" w:lineRule="auto"/>
        <w:rPr>
          <w:rFonts w:asciiTheme="minorEastAsia" w:hAnsiTheme="minorEastAsia" w:eastAsiaTheme="minorEastAsia"/>
        </w:rPr>
      </w:pPr>
      <w:r>
        <w:rPr>
          <w:rFonts w:hint="eastAsia" w:asciiTheme="minorEastAsia" w:hAnsiTheme="minorEastAsia" w:eastAsiaTheme="minorEastAsia"/>
          <w:b/>
          <w:bCs/>
        </w:rPr>
        <w:t>第</w:t>
      </w:r>
      <w:r>
        <w:rPr>
          <w:rFonts w:asciiTheme="minorEastAsia" w:hAnsiTheme="minorEastAsia" w:eastAsiaTheme="minorEastAsia"/>
          <w:b/>
          <w:bCs/>
        </w:rPr>
        <w:t>1</w:t>
      </w:r>
      <w:r>
        <w:rPr>
          <w:rFonts w:hint="eastAsia" w:asciiTheme="minorEastAsia" w:hAnsiTheme="minorEastAsia" w:eastAsiaTheme="minorEastAsia"/>
          <w:b/>
          <w:bCs/>
        </w:rPr>
        <w:t>条项目概况</w:t>
      </w:r>
    </w:p>
    <w:p>
      <w:pPr>
        <w:spacing w:line="360" w:lineRule="auto"/>
        <w:ind w:firstLine="420" w:firstLineChars="200"/>
        <w:rPr>
          <w:rFonts w:hint="eastAsia" w:asciiTheme="minorEastAsia" w:hAnsiTheme="minorEastAsia" w:eastAsiaTheme="minorEastAsia"/>
          <w:lang w:eastAsia="zh-CN"/>
        </w:rPr>
      </w:pPr>
      <w:r>
        <w:rPr>
          <w:rFonts w:hint="eastAsia" w:asciiTheme="minorEastAsia" w:hAnsiTheme="minorEastAsia" w:eastAsiaTheme="minorEastAsia"/>
        </w:rPr>
        <w:t>1.1、项目名称：</w:t>
      </w:r>
      <w:r>
        <w:rPr>
          <w:rFonts w:hint="eastAsia" w:asciiTheme="minorEastAsia" w:hAnsiTheme="minorEastAsia" w:eastAsiaTheme="minorEastAsia"/>
          <w:lang w:eastAsia="zh-CN"/>
        </w:rPr>
        <w:t>金安集团机关办公室装饰装修工程</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1.2、项目地点：湖北省黄石市大冶市经济技术开发区金山街办鹏程大道237号</w:t>
      </w:r>
    </w:p>
    <w:p>
      <w:pPr>
        <w:spacing w:line="360" w:lineRule="auto"/>
        <w:ind w:firstLine="420" w:firstLineChars="200"/>
        <w:rPr>
          <w:rFonts w:asciiTheme="minorEastAsia" w:hAnsiTheme="minorEastAsia" w:eastAsiaTheme="minorEastAsia"/>
          <w:u w:val="single"/>
        </w:rPr>
      </w:pPr>
      <w:r>
        <w:rPr>
          <w:rFonts w:hint="eastAsia" w:asciiTheme="minorEastAsia" w:hAnsiTheme="minorEastAsia" w:eastAsiaTheme="minorEastAsia"/>
        </w:rPr>
        <w:t>1.3、承包范围：</w:t>
      </w:r>
      <w:r>
        <w:rPr>
          <w:rFonts w:hint="eastAsia" w:asciiTheme="minorEastAsia" w:hAnsiTheme="minorEastAsia" w:eastAsiaTheme="minorEastAsia"/>
          <w:u w:val="single"/>
        </w:rPr>
        <w:t>详见工程量清单及设计图纸</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1.4、承包方式：包工包料</w:t>
      </w:r>
    </w:p>
    <w:p>
      <w:pPr>
        <w:spacing w:line="360" w:lineRule="auto"/>
        <w:ind w:firstLine="420" w:firstLineChars="200"/>
        <w:rPr>
          <w:rFonts w:asciiTheme="minorEastAsia" w:hAnsiTheme="minorEastAsia" w:eastAsiaTheme="minorEastAsia"/>
          <w:color w:val="FF0000"/>
        </w:rPr>
      </w:pPr>
      <w:r>
        <w:rPr>
          <w:rFonts w:hint="eastAsia" w:asciiTheme="minorEastAsia" w:hAnsiTheme="minorEastAsia" w:eastAsiaTheme="minorEastAsia"/>
        </w:rPr>
        <w:t>1.5、项目工期：</w:t>
      </w:r>
      <w:r>
        <w:rPr>
          <w:rFonts w:hint="eastAsia" w:asciiTheme="minorEastAsia" w:hAnsiTheme="minorEastAsia" w:eastAsiaTheme="minorEastAsia"/>
          <w:b/>
          <w:color w:val="FF0000"/>
        </w:rPr>
        <w:t>自开工之日（以甲方向乙方下发开工通知）起25个日历天完工，项目竣工验收合格。</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1.6、项目质量：达到国家现行工程质量验收合格标准。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1.7、合同总价款（含税）：</w:t>
      </w:r>
      <w:r>
        <w:rPr>
          <w:rFonts w:hint="eastAsia" w:asciiTheme="minorEastAsia" w:hAnsiTheme="minorEastAsia" w:eastAsiaTheme="minorEastAsia"/>
          <w:u w:val="single"/>
        </w:rPr>
        <w:t xml:space="preserve">                 </w:t>
      </w:r>
      <w:r>
        <w:rPr>
          <w:rFonts w:hint="eastAsia" w:asciiTheme="minorEastAsia" w:hAnsiTheme="minorEastAsia" w:eastAsiaTheme="minorEastAsia"/>
        </w:rPr>
        <w:t>，以项目竣工后第三方审计结果为准。</w:t>
      </w:r>
    </w:p>
    <w:p>
      <w:pPr>
        <w:spacing w:line="360" w:lineRule="auto"/>
        <w:ind w:firstLine="420" w:firstLineChars="200"/>
        <w:rPr>
          <w:rFonts w:asciiTheme="minorEastAsia" w:hAnsiTheme="minorEastAsia" w:eastAsiaTheme="minorEastAsia"/>
          <w:color w:val="FF0000"/>
        </w:rPr>
      </w:pPr>
      <w:r>
        <w:rPr>
          <w:rFonts w:hint="eastAsia" w:asciiTheme="minorEastAsia" w:hAnsiTheme="minorEastAsia" w:eastAsiaTheme="minorEastAsia"/>
        </w:rPr>
        <w:t>1.8、合同付款方式：</w:t>
      </w:r>
      <w:r>
        <w:rPr>
          <w:rFonts w:hint="eastAsia" w:ascii="宋体" w:hAnsi="宋体" w:cs="宋体"/>
          <w:b/>
          <w:bCs/>
          <w:color w:val="FF0000"/>
        </w:rPr>
        <w:t>项目完工经验收（包含采购人验收和相关管理部门验收）合格后十个工作日内支付合同价款70%，经第三方结算审计完成后，在十个工作日内支付至结算审计结果的97%，按照结算审计结果的3%</w:t>
      </w:r>
      <w:r>
        <w:rPr>
          <w:rFonts w:hint="eastAsia" w:ascii="宋体" w:hAnsi="宋体" w:cs="宋体"/>
          <w:b/>
          <w:color w:val="FF0000"/>
        </w:rPr>
        <w:t>预留质保金，待缺陷责任期满后</w:t>
      </w:r>
      <w:r>
        <w:rPr>
          <w:rFonts w:hint="eastAsia" w:ascii="宋体" w:hAnsi="宋体" w:cs="宋体"/>
          <w:b/>
          <w:bCs/>
          <w:color w:val="FF0000"/>
        </w:rPr>
        <w:t>支付。</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1.9、</w:t>
      </w:r>
      <w:r>
        <w:rPr>
          <w:rFonts w:hint="eastAsia" w:asciiTheme="minorEastAsia" w:hAnsiTheme="minorEastAsia" w:eastAsiaTheme="minorEastAsia"/>
          <w:b/>
          <w:color w:val="FF0000"/>
        </w:rPr>
        <w:t>项目</w:t>
      </w:r>
      <w:r>
        <w:rPr>
          <w:rFonts w:hint="eastAsia" w:ascii="宋体" w:hAnsi="宋体" w:cs="宋体"/>
          <w:b/>
          <w:bCs/>
          <w:color w:val="FF0000"/>
        </w:rPr>
        <w:t>结算审计</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(1) 项目经竣工验收合格之日起二十个工作日内，</w:t>
      </w:r>
      <w:r>
        <w:rPr>
          <w:rFonts w:hint="eastAsia" w:ascii="宋体" w:hAnsi="宋体"/>
          <w:b/>
          <w:color w:val="FF0000"/>
        </w:rPr>
        <w:t>成交供应商</w:t>
      </w:r>
      <w:r>
        <w:rPr>
          <w:rFonts w:hint="eastAsia" w:ascii="宋体" w:hAnsi="宋体" w:cs="宋体"/>
          <w:b/>
          <w:bCs/>
          <w:color w:val="FF0000"/>
        </w:rPr>
        <w:t>应据实提交完整的竣工结算资料及结算书（含竣工图、竣工验收资料、施工合同及投标文件等）。</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 xml:space="preserve">(2) </w:t>
      </w:r>
      <w:r>
        <w:rPr>
          <w:rFonts w:hint="eastAsia" w:ascii="宋体" w:hAnsi="宋体"/>
          <w:b/>
          <w:color w:val="FF0000"/>
        </w:rPr>
        <w:t>成交供应商</w:t>
      </w:r>
      <w:r>
        <w:rPr>
          <w:rFonts w:hint="eastAsia" w:ascii="宋体" w:hAnsi="宋体" w:cs="宋体"/>
          <w:b/>
          <w:bCs/>
          <w:color w:val="FF0000"/>
        </w:rPr>
        <w:t>未在规定的时间内提交竣工结算文件，采购人有权根据已有资料编制竣工结算文件，作为办理竣工结算和支付结算款的依据，</w:t>
      </w:r>
      <w:r>
        <w:rPr>
          <w:rFonts w:hint="eastAsia" w:ascii="宋体" w:hAnsi="宋体"/>
          <w:b/>
          <w:color w:val="FF0000"/>
        </w:rPr>
        <w:t>成交供应商</w:t>
      </w:r>
      <w:r>
        <w:rPr>
          <w:rFonts w:hint="eastAsia" w:ascii="宋体" w:hAnsi="宋体" w:cs="宋体"/>
          <w:b/>
          <w:bCs/>
          <w:color w:val="FF0000"/>
        </w:rPr>
        <w:t>应予以认可。</w:t>
      </w:r>
    </w:p>
    <w:p>
      <w:pPr>
        <w:adjustRightInd w:val="0"/>
        <w:snapToGrid w:val="0"/>
        <w:spacing w:line="360" w:lineRule="auto"/>
        <w:ind w:firstLine="310" w:firstLineChars="147"/>
        <w:rPr>
          <w:rFonts w:ascii="宋体" w:hAnsi="宋体" w:cs="宋体"/>
          <w:b/>
          <w:bCs/>
          <w:color w:val="FF0000"/>
        </w:rPr>
      </w:pPr>
      <w:r>
        <w:rPr>
          <w:rFonts w:hint="eastAsia" w:ascii="宋体" w:hAnsi="宋体" w:cs="宋体"/>
          <w:b/>
          <w:bCs/>
          <w:color w:val="FF0000"/>
        </w:rPr>
        <w:t>(3)项目最终结算金额以采购人委托第三方项目竣工结算审计单位审定金额为准。</w:t>
      </w:r>
    </w:p>
    <w:p>
      <w:pPr>
        <w:spacing w:line="360" w:lineRule="auto"/>
        <w:ind w:firstLine="420" w:firstLineChars="200"/>
        <w:rPr>
          <w:rFonts w:cs="宋体" w:asciiTheme="minorEastAsia" w:hAnsiTheme="minorEastAsia" w:eastAsiaTheme="minorEastAsia"/>
          <w:kern w:val="0"/>
        </w:rPr>
      </w:pPr>
      <w:r>
        <w:rPr>
          <w:rFonts w:hint="eastAsia" w:asciiTheme="minorEastAsia" w:hAnsiTheme="minorEastAsia" w:eastAsiaTheme="minorEastAsia"/>
          <w:bCs/>
        </w:rPr>
        <w:t>1.10、</w:t>
      </w:r>
      <w:r>
        <w:rPr>
          <w:rFonts w:hint="eastAsia" w:ascii="宋体" w:hAnsi="宋体" w:cs="宋体"/>
          <w:b/>
          <w:color w:val="FF0000"/>
        </w:rPr>
        <w:t>缺陷责任期</w:t>
      </w:r>
      <w:r>
        <w:rPr>
          <w:rFonts w:hint="eastAsia" w:asciiTheme="minorEastAsia" w:hAnsiTheme="minorEastAsia" w:eastAsiaTheme="minorEastAsia"/>
          <w:b/>
          <w:color w:val="FF0000"/>
        </w:rPr>
        <w:t>：自项目竣工验收合格日起两年。</w:t>
      </w:r>
    </w:p>
    <w:p>
      <w:pPr>
        <w:spacing w:line="360" w:lineRule="auto"/>
        <w:ind w:firstLine="420" w:firstLineChars="200"/>
        <w:rPr>
          <w:rFonts w:asciiTheme="minorEastAsia" w:hAnsiTheme="minorEastAsia" w:eastAsiaTheme="minorEastAsia"/>
          <w:bCs/>
        </w:rPr>
      </w:pPr>
      <w:r>
        <w:rPr>
          <w:rFonts w:hint="eastAsia" w:asciiTheme="minorEastAsia" w:hAnsiTheme="minorEastAsia" w:eastAsiaTheme="minorEastAsia"/>
          <w:bCs/>
        </w:rPr>
        <w:t>1.11、甲方指派</w:t>
      </w:r>
      <w:r>
        <w:rPr>
          <w:rFonts w:hint="eastAsia" w:asciiTheme="minorEastAsia" w:hAnsiTheme="minorEastAsia" w:eastAsiaTheme="minorEastAsia"/>
          <w:bCs/>
          <w:u w:val="single"/>
        </w:rPr>
        <w:t xml:space="preserve">    </w:t>
      </w:r>
      <w:r>
        <w:rPr>
          <w:rFonts w:hint="eastAsia" w:asciiTheme="minorEastAsia" w:hAnsiTheme="minorEastAsia" w:eastAsiaTheme="minorEastAsia"/>
          <w:bCs/>
        </w:rPr>
        <w:t>同志为甲方代表，乙方指派</w:t>
      </w:r>
      <w:r>
        <w:rPr>
          <w:rFonts w:hint="eastAsia" w:asciiTheme="minorEastAsia" w:hAnsiTheme="minorEastAsia" w:eastAsiaTheme="minorEastAsia"/>
          <w:bCs/>
          <w:u w:val="single"/>
        </w:rPr>
        <w:t xml:space="preserve">    </w:t>
      </w:r>
      <w:r>
        <w:rPr>
          <w:rFonts w:hint="eastAsia" w:asciiTheme="minorEastAsia" w:hAnsiTheme="minorEastAsia" w:eastAsiaTheme="minorEastAsia"/>
          <w:bCs/>
        </w:rPr>
        <w:t>同志为乙方代表，负责现场施工监督、协调、工程变更签证等工作。</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第2条关于工期的约定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2.1、</w:t>
      </w:r>
      <w:r>
        <w:rPr>
          <w:rFonts w:hint="eastAsia" w:ascii="宋体" w:hAnsi="宋体"/>
          <w:b/>
          <w:color w:val="FF0000"/>
        </w:rPr>
        <w:t>逾期处罚：</w:t>
      </w:r>
      <w:r>
        <w:rPr>
          <w:rFonts w:hint="eastAsia" w:ascii="宋体" w:hAnsi="宋体" w:cs="宋体"/>
          <w:b/>
          <w:bCs/>
          <w:color w:val="FF0000"/>
        </w:rPr>
        <w:t>合同期限为</w:t>
      </w:r>
      <w:r>
        <w:rPr>
          <w:rFonts w:hint="eastAsia" w:ascii="宋体" w:hAnsi="宋体" w:cs="宋体"/>
          <w:b/>
          <w:bCs/>
          <w:color w:val="FF0000"/>
          <w:u w:val="single"/>
        </w:rPr>
        <w:t>25</w:t>
      </w:r>
      <w:r>
        <w:rPr>
          <w:rFonts w:hint="eastAsia" w:ascii="宋体" w:hAnsi="宋体" w:cs="宋体"/>
          <w:b/>
          <w:bCs/>
          <w:color w:val="FF0000"/>
        </w:rPr>
        <w:t>个日历天，每逾期一天，采购人有权直接扣减工程款贰万元，并进行累加。</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2.2、甲方要求比合同约定的工期提前竣工时，应征得乙方同意，并支付乙方因赶工采取的措施费用。</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2.3、因甲方未按约定完成工作，影响工期，工期顺延。</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2.4、因乙方责任，不能按期开工或中途无故停工，影响工期，工期不顺延。如因此导致逾期的，乙方承担违约责任。</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2.5、因设计变更或非乙方原因造成的停电、停水及不可抗力因素影响，导致停工8小时以上（一周内累计计算），工期相应顺延。</w:t>
      </w:r>
    </w:p>
    <w:p>
      <w:pPr>
        <w:spacing w:line="360" w:lineRule="auto"/>
        <w:rPr>
          <w:rFonts w:asciiTheme="minorEastAsia" w:hAnsiTheme="minorEastAsia" w:eastAsiaTheme="minorEastAsia"/>
        </w:rPr>
      </w:pPr>
      <w:r>
        <w:rPr>
          <w:rFonts w:hint="eastAsia" w:asciiTheme="minorEastAsia" w:hAnsiTheme="minorEastAsia" w:eastAsiaTheme="minorEastAsia"/>
          <w:b/>
          <w:bCs/>
        </w:rPr>
        <w:t>第3条关于工程质量及验收的约定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3.1、本工程以《建筑装饰工程施工及验收规范》（JGJ73-91）、《建筑安装工程质量检验评定统一标准》（GBJ300-88）等国家制订的施工及验收规范为质量评定验收标准。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3.2、本工程质量应达到国家质量评定合格标准。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3.3、在隐蔽工程和中间工程的施工过程中，乙方应通知甲方或甲方聘请的第三方监理单位验收，并48小时内组织验收并办理相关检查与验收手续。甲方或监理单位不按时参加隐蔽工程和中间工程验收，乙方可自行验收，甲方应予承认，若甲方要求复验时，乙方应按要求办理复验，若复验合格，甲方应承担复验费用，由此造成停工，工期顺延；若复验不合格，其复验及返工费用由乙方承担，但工期也不予顺延。</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3.4、由于乙方原因造成质量事故，其返工费用由乙方承担，工期不顺延。由于工程质量不合格引起的工程质量事故责任由乙方承担，乙方应赔偿由此给甲方造成的损失。</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3.5、项目竣工后，乙方应通知甲方验收，甲方自接到验收通知48小时内组织验收，并办理验收、移交手续，如甲方在规定时间内未能组织验收，需及时通知乙方，另定验收日期，但甲方应承认竣工日期。</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第4条关于安全生产和防火的约定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4.1、乙方在项目施工期间应严格遵守《建筑安装工程安全技术规程》、《建筑安装工人安全操作规程》、《中华人民共和国消防条例》和其它相关的法规、规范。</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4.2、乙方要切实做好项目施工过程中安全工作，承担项目施工安全责任。由于乙方在施工生产过程中违反有关安全操作规程、消防条例，导致发生安全或火灾事故，乙方应承担由此引发的一切经济损失和法律责任。如因此造成的人员伤亡损失费用，由乙方负责赔偿。</w:t>
      </w:r>
    </w:p>
    <w:p>
      <w:pPr>
        <w:spacing w:line="360" w:lineRule="auto"/>
        <w:rPr>
          <w:rFonts w:asciiTheme="minorEastAsia" w:hAnsiTheme="minorEastAsia" w:eastAsiaTheme="minorEastAsia"/>
        </w:rPr>
      </w:pPr>
      <w:r>
        <w:rPr>
          <w:rFonts w:hint="eastAsia" w:asciiTheme="minorEastAsia" w:hAnsiTheme="minorEastAsia" w:eastAsiaTheme="minorEastAsia"/>
          <w:b/>
          <w:bCs/>
        </w:rPr>
        <w:t>第5条关于农民工工资的约定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bCs/>
        </w:rPr>
        <w:t>乙方承诺不拖欠本项目施工的农民工工资，否则甲方有权将剩余项目款项直接支付本项目施工的农民工，同时乙</w:t>
      </w:r>
      <w:r>
        <w:rPr>
          <w:rFonts w:hint="eastAsia" w:asciiTheme="minorEastAsia" w:hAnsiTheme="minorEastAsia" w:eastAsiaTheme="minorEastAsia"/>
        </w:rPr>
        <w:t>方应按合同总价款的</w:t>
      </w:r>
      <w:r>
        <w:rPr>
          <w:rFonts w:asciiTheme="minorEastAsia" w:hAnsiTheme="minorEastAsia" w:eastAsiaTheme="minorEastAsia"/>
        </w:rPr>
        <w:t>10%</w:t>
      </w:r>
      <w:r>
        <w:rPr>
          <w:rFonts w:hint="eastAsia" w:asciiTheme="minorEastAsia" w:hAnsiTheme="minorEastAsia" w:eastAsiaTheme="minorEastAsia"/>
        </w:rPr>
        <w:t>向甲方支付违约金。</w:t>
      </w:r>
    </w:p>
    <w:p>
      <w:pPr>
        <w:spacing w:line="360" w:lineRule="auto"/>
        <w:rPr>
          <w:rFonts w:asciiTheme="minorEastAsia" w:hAnsiTheme="minorEastAsia" w:eastAsiaTheme="minorEastAsia"/>
          <w:b/>
        </w:rPr>
      </w:pPr>
      <w:r>
        <w:rPr>
          <w:rFonts w:hint="eastAsia" w:asciiTheme="minorEastAsia" w:hAnsiTheme="minorEastAsia" w:eastAsiaTheme="minorEastAsia"/>
          <w:b/>
          <w:bCs/>
        </w:rPr>
        <w:t>第6</w:t>
      </w:r>
      <w:r>
        <w:rPr>
          <w:rFonts w:hint="eastAsia" w:asciiTheme="minorEastAsia" w:hAnsiTheme="minorEastAsia" w:eastAsiaTheme="minorEastAsia"/>
          <w:b/>
        </w:rPr>
        <w:t>条</w:t>
      </w:r>
      <w:r>
        <w:rPr>
          <w:rFonts w:hint="eastAsia" w:asciiTheme="minorEastAsia" w:hAnsiTheme="minorEastAsia" w:eastAsiaTheme="minorEastAsia"/>
          <w:b/>
          <w:bCs/>
        </w:rPr>
        <w:t>关于材料供应的约定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6.1、本项目中主材料严格按设计图纸及工程量清单中的规格、型号要求和乙方投标文件中注明的品牌、型号、规格采购。</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6.2、由乙方采购的所有材料、设备，必须符合国家规定的技术标准或质量规定，并经过甲方同意后方可购买并进场施工，不符合质量要求或规格有差异，或对人体有害的，应禁止使用，乙方应提供所采购材料、设备的合格证明，确保材料设备货真价实，保质保量。如乙方采购的材料、设备质量不合格或不符合甲方要求，乙方应在甲方指定的时间内将其运出施工现场，重新购买符合要求的材料、设备，承担由此产生的费用，并赔偿给甲方造成的损失，由此延误的工期不顺延，甲方也可直接单方解除合同，合同总价款不予支付，乙方应按合同总价款的10%向甲方支付违约金并赔偿给甲方造成损失。</w:t>
      </w:r>
    </w:p>
    <w:p>
      <w:pPr>
        <w:spacing w:line="360" w:lineRule="auto"/>
        <w:rPr>
          <w:rFonts w:asciiTheme="minorEastAsia" w:hAnsiTheme="minorEastAsia" w:eastAsiaTheme="minorEastAsia"/>
        </w:rPr>
      </w:pPr>
      <w:r>
        <w:rPr>
          <w:rFonts w:hint="eastAsia" w:asciiTheme="minorEastAsia" w:hAnsiTheme="minorEastAsia" w:eastAsiaTheme="minorEastAsia"/>
          <w:b/>
          <w:bCs/>
        </w:rPr>
        <w:t>第7条违约责任</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7.1、由乙方原因导致逾期竣工，每逾期一天，甲方有权直接扣减工程款贰万元（¥：20000元），扣罚金额累计相加（无上限）。</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7.2、项目质量应当达到国家质量评定的合格标准。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7.3、乙方应妥善保护甲方提供的设备及现场堆放陈设和工程成品，如造成损失，应照价赔偿。</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7.4、未经甲方同意，乙方擅自拆改原建筑物结构或设备管线，由此发生的损失或事故，由乙方负责并承担损失。</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7.5、未办理验收手续，甲方提前使用或擅自动用，造成损失由甲方负责。</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7.6、因客观原因，合同无法继续履行时，应通知乙方，办理合同终止协议，并由责任方赔偿对方由此造成的经济损失。</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7.7、自竣工之日起的质保期和免费维修期内属于乙方施工质量问题，或乙方采购材料质量问题，乙方负责免费返修、更换，除灯管、灯泡等易耗品外，其余产品或设备的质保期均为两年，免费维修期为一年。</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第8条质保及售后要求</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8.1、缺陷责任期内,甲方发现工程有质量问题，乙方必须在24小时内响应并回复甲方，在5天内完成相应的工程维修工作，若维修工作5天内难以完成，必须把相应工程维修工作的详细情况书面告之甲方，对维修时间进行承诺，并取得甲方书面同意；若乙方不积极响应或者未承诺维修期限，甲方有权另行委托其他单位维修，相关费用从本项目质保金中扣减。</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8.2、乙方必须按照质量操作和验收规范进行施工，确保工程分项及整体验收达到承诺要求及国家有关质量标准。本项目中各工程质量保修期按照《房屋建筑工程质量保修办法》中的相关规定执行：1.屋面防水工程、有防水要求的卫生间、房间和外墙面的防渗漏，为5年；2.供热与供冷系统，为2个采暖期、供冷期；3.电气管线、给排水管道、设备安装为2年；4.装修工程为2年；5.其他工程不低于2年。</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第9条</w:t>
      </w:r>
      <w:r>
        <w:rPr>
          <w:rFonts w:hint="eastAsia" w:cs="宋体" w:asciiTheme="minorEastAsia" w:hAnsiTheme="minorEastAsia" w:eastAsiaTheme="minorEastAsia"/>
          <w:b/>
          <w:color w:val="FF0000"/>
        </w:rPr>
        <w:t>安全要求</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9.1、采购人将按照行业管理相关规定，对中标供应商及其专业分包单位的全部施工人员签订保密协议，并到相关安全管理部门备案；</w:t>
      </w:r>
    </w:p>
    <w:p>
      <w:pPr>
        <w:spacing w:line="360" w:lineRule="auto"/>
        <w:ind w:firstLine="420"/>
        <w:jc w:val="left"/>
        <w:rPr>
          <w:rFonts w:cs="宋体" w:asciiTheme="minorEastAsia" w:hAnsiTheme="minorEastAsia" w:eastAsiaTheme="minorEastAsia"/>
          <w:b/>
          <w:color w:val="FF0000"/>
        </w:rPr>
      </w:pPr>
      <w:r>
        <w:rPr>
          <w:rFonts w:hint="eastAsia" w:cs="宋体" w:asciiTheme="minorEastAsia" w:hAnsiTheme="minorEastAsia" w:eastAsiaTheme="minorEastAsia"/>
          <w:b/>
          <w:color w:val="FF0000"/>
        </w:rPr>
        <w:t>9.2、进场施工之前，中标供应商及其专业分包单位必须对全部施工人员进行保密培训；</w:t>
      </w:r>
    </w:p>
    <w:p>
      <w:pPr>
        <w:spacing w:line="360" w:lineRule="auto"/>
        <w:ind w:firstLine="413" w:firstLineChars="196"/>
        <w:rPr>
          <w:rFonts w:asciiTheme="minorEastAsia" w:hAnsiTheme="minorEastAsia" w:eastAsiaTheme="minorEastAsia"/>
          <w:b/>
          <w:bCs/>
        </w:rPr>
      </w:pPr>
      <w:r>
        <w:rPr>
          <w:rFonts w:hint="eastAsia" w:cs="宋体" w:asciiTheme="minorEastAsia" w:hAnsiTheme="minorEastAsia" w:eastAsiaTheme="minorEastAsia"/>
          <w:b/>
          <w:color w:val="FF0000"/>
        </w:rPr>
        <w:t>9.3、中标供应商及其专业分包单位必须提供全部进场工作人员的本单位社保证明（近6个月）、无犯罪记录证明和本单位担保函，在采购人办理进场施工证明（10元/个，由中标供应商及其专业分包单位承担费用，采购人复核和办理时间为1天），并接受采购人的现场统一管理，否则由此引起的费用损失和拖延工期全部由中标供应商承担。</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第10条争议或纠纷处理</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10.1、本合同未尽事宜采用补充协议的方式约定。</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10.2、本合同在履行期间，双方发生争议时，在不影响工程进度的前提下，双方可采取协商解决或请有关部门进行调解。</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10.3、结算原则：1.已标价工程量清单有相同项目的，按照相同项目单价认定；2.已标价工程量清单中无相同项目，但有类似项目，参照类似项目的单价认定；3.已标价工程量清单中无相同项目及类似项目单价的，综合单价确定办法为：由乙方变更事项发生后7日内提出适当变更价格，经甲方确认后执行，或者是按2018年定额及相关文件组价后执行；4.项目如有变更以确认的项目变更单为准。</w:t>
      </w:r>
    </w:p>
    <w:p>
      <w:pPr>
        <w:spacing w:line="360" w:lineRule="auto"/>
        <w:rPr>
          <w:rFonts w:asciiTheme="minorEastAsia" w:hAnsiTheme="minorEastAsia" w:eastAsiaTheme="minorEastAsia"/>
          <w:b/>
          <w:bCs/>
        </w:rPr>
      </w:pPr>
      <w:r>
        <w:rPr>
          <w:rFonts w:hint="eastAsia" w:asciiTheme="minorEastAsia" w:hAnsiTheme="minorEastAsia" w:eastAsiaTheme="minorEastAsia"/>
          <w:b/>
          <w:bCs/>
        </w:rPr>
        <w:t>第11条附则</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11.1、本合同一式陆份，双方各执叁份。</w:t>
      </w:r>
    </w:p>
    <w:p>
      <w:pPr>
        <w:spacing w:line="360" w:lineRule="auto"/>
        <w:ind w:firstLine="420" w:firstLineChars="200"/>
        <w:rPr>
          <w:rFonts w:asciiTheme="minorEastAsia" w:hAnsiTheme="minorEastAsia" w:eastAsiaTheme="minorEastAsia"/>
        </w:rPr>
      </w:pPr>
      <w:r>
        <w:rPr>
          <w:rFonts w:hint="eastAsia" w:asciiTheme="minorEastAsia" w:hAnsiTheme="minorEastAsia" w:eastAsiaTheme="minorEastAsia"/>
        </w:rPr>
        <w:t>11.2、本合同经甲乙方双方法定代表人或授权代表签字并加盖单位公章之后起生效。</w:t>
      </w: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r>
        <w:rPr>
          <w:rFonts w:hint="eastAsia" w:asciiTheme="minorEastAsia" w:hAnsiTheme="minorEastAsia" w:eastAsiaTheme="minorEastAsia"/>
        </w:rPr>
        <w:t>甲方（盖章）：                  乙方（盖章）：</w:t>
      </w:r>
    </w:p>
    <w:p>
      <w:pPr>
        <w:spacing w:line="360" w:lineRule="auto"/>
        <w:rPr>
          <w:rFonts w:asciiTheme="minorEastAsia" w:hAnsiTheme="minorEastAsia" w:eastAsiaTheme="minorEastAsia"/>
        </w:rPr>
      </w:pPr>
    </w:p>
    <w:p>
      <w:pPr>
        <w:spacing w:line="360" w:lineRule="auto"/>
        <w:rPr>
          <w:rFonts w:asciiTheme="minorEastAsia" w:hAnsiTheme="minorEastAsia" w:eastAsiaTheme="minorEastAsia"/>
        </w:rPr>
      </w:pPr>
      <w:r>
        <w:rPr>
          <w:rFonts w:hint="eastAsia" w:asciiTheme="minorEastAsia" w:hAnsiTheme="minorEastAsia" w:eastAsiaTheme="minorEastAsia"/>
        </w:rPr>
        <w:t>法定代表人或授权委托人：        法定代表人或授权委托人：</w:t>
      </w:r>
    </w:p>
    <w:p>
      <w:pPr>
        <w:spacing w:line="360" w:lineRule="auto"/>
        <w:rPr>
          <w:rFonts w:asciiTheme="minorEastAsia" w:hAnsiTheme="minorEastAsia" w:eastAsiaTheme="minorEastAsia"/>
          <w:u w:val="single"/>
        </w:rPr>
      </w:pPr>
    </w:p>
    <w:p>
      <w:pPr>
        <w:spacing w:line="360" w:lineRule="auto"/>
        <w:ind w:firstLine="4200" w:firstLineChars="2000"/>
        <w:rPr>
          <w:rFonts w:asciiTheme="minorEastAsia" w:hAnsiTheme="minorEastAsia" w:eastAsiaTheme="minorEastAsia"/>
        </w:rPr>
      </w:pPr>
      <w:r>
        <w:rPr>
          <w:rFonts w:asciiTheme="minorEastAsia" w:hAnsiTheme="minorEastAsia" w:eastAsiaTheme="minorEastAsia"/>
          <w:u w:val="single"/>
        </w:rPr>
        <w:t>20</w:t>
      </w:r>
      <w:r>
        <w:rPr>
          <w:rFonts w:hint="eastAsia" w:asciiTheme="minorEastAsia" w:hAnsiTheme="minorEastAsia" w:eastAsiaTheme="minorEastAsia"/>
          <w:u w:val="single"/>
        </w:rPr>
        <w:t>21</w:t>
      </w:r>
      <w:r>
        <w:rPr>
          <w:rFonts w:hint="eastAsia" w:asciiTheme="minorEastAsia" w:hAnsiTheme="minorEastAsia" w:eastAsiaTheme="minorEastAsia"/>
        </w:rPr>
        <w:t>年</w:t>
      </w:r>
      <w:r>
        <w:rPr>
          <w:rFonts w:hint="eastAsia" w:asciiTheme="minorEastAsia" w:hAnsiTheme="minorEastAsia" w:eastAsiaTheme="minorEastAsia"/>
          <w:u w:val="single"/>
        </w:rPr>
        <w:t xml:space="preserve">   </w:t>
      </w:r>
      <w:r>
        <w:rPr>
          <w:rFonts w:hint="eastAsia" w:asciiTheme="minorEastAsia" w:hAnsiTheme="minorEastAsia" w:eastAsiaTheme="minorEastAsia"/>
        </w:rPr>
        <w:t>月</w:t>
      </w:r>
      <w:r>
        <w:rPr>
          <w:rFonts w:hint="eastAsia" w:asciiTheme="minorEastAsia" w:hAnsiTheme="minorEastAsia" w:eastAsiaTheme="minorEastAsia"/>
          <w:u w:val="single"/>
        </w:rPr>
        <w:t xml:space="preserve">   </w:t>
      </w:r>
      <w:r>
        <w:rPr>
          <w:rFonts w:hint="eastAsia" w:asciiTheme="minorEastAsia" w:hAnsiTheme="minorEastAsia" w:eastAsiaTheme="minorEastAsia"/>
        </w:rPr>
        <w:t>日</w:t>
      </w: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ind w:firstLine="409" w:firstLineChars="194"/>
        <w:jc w:val="left"/>
        <w:rPr>
          <w:rFonts w:ascii="宋体" w:hAnsi="宋体"/>
          <w:b/>
        </w:rPr>
      </w:pPr>
    </w:p>
    <w:p>
      <w:pPr>
        <w:widowControl/>
        <w:spacing w:line="360" w:lineRule="auto"/>
        <w:jc w:val="left"/>
        <w:rPr>
          <w:rFonts w:ascii="宋体" w:hAnsi="宋体"/>
          <w:b/>
        </w:rPr>
      </w:pPr>
    </w:p>
    <w:p>
      <w:pPr>
        <w:spacing w:line="500" w:lineRule="exact"/>
        <w:jc w:val="center"/>
        <w:outlineLvl w:val="0"/>
        <w:rPr>
          <w:rFonts w:ascii="Times New Roman" w:hAnsi="Times New Roman"/>
          <w:b/>
          <w:bCs/>
          <w:sz w:val="36"/>
          <w:szCs w:val="36"/>
        </w:rPr>
      </w:pPr>
      <w:bookmarkStart w:id="21" w:name="_Toc467"/>
    </w:p>
    <w:p>
      <w:pPr>
        <w:spacing w:line="500" w:lineRule="exact"/>
        <w:jc w:val="center"/>
        <w:outlineLvl w:val="0"/>
        <w:rPr>
          <w:rFonts w:ascii="Times New Roman" w:hAnsi="Times New Roman"/>
          <w:b/>
          <w:sz w:val="36"/>
          <w:szCs w:val="36"/>
        </w:rPr>
      </w:pPr>
      <w:r>
        <w:rPr>
          <w:rFonts w:hint="eastAsia" w:ascii="Times New Roman" w:hAnsi="Times New Roman"/>
          <w:b/>
          <w:bCs/>
          <w:sz w:val="36"/>
          <w:szCs w:val="36"/>
        </w:rPr>
        <w:t>第六章响应文件格式</w:t>
      </w:r>
      <w:bookmarkEnd w:id="21"/>
    </w:p>
    <w:p>
      <w:pPr>
        <w:adjustRightInd w:val="0"/>
        <w:snapToGrid w:val="0"/>
        <w:jc w:val="center"/>
        <w:outlineLvl w:val="0"/>
        <w:rPr>
          <w:rFonts w:ascii="Times New Roman" w:hAnsi="Times New Roman"/>
          <w:b/>
          <w:sz w:val="18"/>
          <w:szCs w:val="18"/>
        </w:rPr>
      </w:pPr>
    </w:p>
    <w:p>
      <w:pPr>
        <w:adjustRightInd w:val="0"/>
        <w:snapToGrid w:val="0"/>
        <w:rPr>
          <w:rFonts w:ascii="Times New Roman" w:hAnsi="Times New Roman"/>
          <w:szCs w:val="28"/>
        </w:rPr>
      </w:pPr>
      <w:r>
        <w:rPr>
          <w:rFonts w:hint="eastAsia" w:ascii="Times New Roman" w:hAnsi="Times New Roman"/>
          <w:szCs w:val="28"/>
        </w:rPr>
        <w:t>封面：</w:t>
      </w:r>
    </w:p>
    <w:p>
      <w:pPr>
        <w:pStyle w:val="12"/>
        <w:tabs>
          <w:tab w:val="left" w:pos="1260"/>
        </w:tabs>
        <w:jc w:val="center"/>
        <w:rPr>
          <w:rFonts w:ascii="Times New Roman" w:hAnsi="Times New Roman"/>
          <w:b/>
          <w:bCs/>
          <w:spacing w:val="100"/>
          <w:w w:val="110"/>
          <w:sz w:val="36"/>
          <w:szCs w:val="36"/>
        </w:rPr>
      </w:pPr>
    </w:p>
    <w:p>
      <w:pPr>
        <w:pStyle w:val="12"/>
        <w:tabs>
          <w:tab w:val="left" w:pos="1260"/>
        </w:tabs>
        <w:jc w:val="center"/>
        <w:rPr>
          <w:rFonts w:ascii="Times New Roman" w:hAnsi="Times New Roman"/>
          <w:bCs/>
          <w:spacing w:val="100"/>
          <w:w w:val="110"/>
          <w:sz w:val="36"/>
          <w:szCs w:val="36"/>
        </w:rPr>
      </w:pPr>
    </w:p>
    <w:p>
      <w:pPr>
        <w:pStyle w:val="12"/>
        <w:tabs>
          <w:tab w:val="left" w:pos="1260"/>
        </w:tabs>
        <w:jc w:val="center"/>
        <w:rPr>
          <w:rFonts w:ascii="Times New Roman" w:hAnsi="Times New Roman"/>
          <w:bCs/>
          <w:spacing w:val="100"/>
          <w:w w:val="110"/>
          <w:sz w:val="52"/>
          <w:szCs w:val="52"/>
        </w:rPr>
      </w:pPr>
    </w:p>
    <w:p>
      <w:pPr>
        <w:pStyle w:val="12"/>
        <w:tabs>
          <w:tab w:val="left" w:pos="1260"/>
        </w:tabs>
        <w:jc w:val="center"/>
        <w:rPr>
          <w:rFonts w:ascii="Times New Roman" w:hAnsi="Times New Roman"/>
          <w:spacing w:val="100"/>
          <w:w w:val="110"/>
          <w:sz w:val="100"/>
          <w:szCs w:val="100"/>
        </w:rPr>
      </w:pPr>
      <w:r>
        <w:rPr>
          <w:rFonts w:hint="eastAsia" w:ascii="Times New Roman" w:hAnsi="Times New Roman"/>
          <w:bCs/>
          <w:spacing w:val="100"/>
          <w:w w:val="110"/>
          <w:sz w:val="100"/>
          <w:szCs w:val="100"/>
        </w:rPr>
        <w:t>响应文件</w:t>
      </w:r>
    </w:p>
    <w:p>
      <w:pPr>
        <w:pStyle w:val="12"/>
        <w:jc w:val="center"/>
        <w:rPr>
          <w:rFonts w:ascii="Times New Roman" w:hAnsi="Times New Roman"/>
          <w:sz w:val="44"/>
        </w:rPr>
      </w:pPr>
      <w:r>
        <w:rPr>
          <w:rFonts w:hint="eastAsia" w:ascii="Times New Roman" w:hAnsi="Times New Roman"/>
          <w:sz w:val="44"/>
        </w:rPr>
        <w:t>（正本</w:t>
      </w:r>
      <w:r>
        <w:rPr>
          <w:rFonts w:ascii="Times New Roman" w:hAnsi="Times New Roman"/>
          <w:sz w:val="44"/>
        </w:rPr>
        <w:t>/</w:t>
      </w:r>
      <w:r>
        <w:rPr>
          <w:rFonts w:hint="eastAsia" w:ascii="Times New Roman" w:hAnsi="Times New Roman"/>
          <w:sz w:val="44"/>
        </w:rPr>
        <w:t>副本）</w:t>
      </w:r>
    </w:p>
    <w:p>
      <w:pPr>
        <w:pStyle w:val="12"/>
        <w:jc w:val="center"/>
        <w:rPr>
          <w:rFonts w:ascii="Times New Roman" w:hAnsi="Times New Roman"/>
          <w:sz w:val="44"/>
        </w:rPr>
      </w:pPr>
    </w:p>
    <w:p>
      <w:pPr>
        <w:pStyle w:val="12"/>
        <w:jc w:val="center"/>
        <w:rPr>
          <w:rFonts w:ascii="Times New Roman" w:hAnsi="Times New Roman"/>
          <w:sz w:val="44"/>
        </w:rPr>
      </w:pPr>
    </w:p>
    <w:p>
      <w:pPr>
        <w:pStyle w:val="12"/>
        <w:spacing w:line="360" w:lineRule="auto"/>
        <w:ind w:firstLine="1280" w:firstLineChars="400"/>
        <w:rPr>
          <w:rFonts w:ascii="Times New Roman" w:hAnsi="Times New Roman"/>
          <w:sz w:val="32"/>
          <w:szCs w:val="32"/>
        </w:rPr>
      </w:pPr>
      <w:r>
        <w:rPr>
          <w:rFonts w:hint="eastAsia" w:ascii="Times New Roman" w:hAnsi="Times New Roman"/>
          <w:sz w:val="32"/>
          <w:szCs w:val="32"/>
        </w:rPr>
        <w:t>项目编号：</w:t>
      </w:r>
    </w:p>
    <w:p>
      <w:pPr>
        <w:pStyle w:val="12"/>
        <w:spacing w:line="360" w:lineRule="auto"/>
        <w:ind w:firstLine="1280" w:firstLineChars="400"/>
        <w:rPr>
          <w:rFonts w:ascii="Times New Roman" w:hAnsi="Times New Roman"/>
          <w:sz w:val="32"/>
          <w:szCs w:val="32"/>
          <w:u w:val="single"/>
        </w:rPr>
      </w:pPr>
      <w:r>
        <w:rPr>
          <w:rFonts w:hint="eastAsia" w:ascii="Times New Roman" w:hAnsi="Times New Roman"/>
          <w:sz w:val="32"/>
          <w:szCs w:val="32"/>
        </w:rPr>
        <w:t>项目名称：</w:t>
      </w:r>
    </w:p>
    <w:p>
      <w:pPr>
        <w:pStyle w:val="12"/>
        <w:spacing w:line="360" w:lineRule="auto"/>
        <w:ind w:firstLine="1280" w:firstLineChars="400"/>
        <w:rPr>
          <w:rFonts w:ascii="Times New Roman" w:hAnsi="Times New Roman"/>
          <w:sz w:val="32"/>
          <w:szCs w:val="32"/>
          <w:u w:val="single"/>
        </w:rPr>
      </w:pPr>
      <w:r>
        <w:rPr>
          <w:rFonts w:hint="eastAsia" w:ascii="Times New Roman" w:hAnsi="Times New Roman"/>
          <w:sz w:val="32"/>
          <w:szCs w:val="32"/>
        </w:rPr>
        <w:t>竞争性磋商内容：</w:t>
      </w:r>
    </w:p>
    <w:p>
      <w:pPr>
        <w:pStyle w:val="12"/>
        <w:ind w:firstLine="1320" w:firstLineChars="300"/>
        <w:rPr>
          <w:rFonts w:ascii="Times New Roman" w:hAnsi="Times New Roman"/>
          <w:sz w:val="44"/>
        </w:rPr>
      </w:pPr>
    </w:p>
    <w:p>
      <w:pPr>
        <w:pStyle w:val="12"/>
        <w:ind w:firstLine="1320" w:firstLineChars="300"/>
        <w:rPr>
          <w:rFonts w:ascii="Times New Roman" w:hAnsi="Times New Roman"/>
          <w:sz w:val="44"/>
        </w:rPr>
      </w:pPr>
    </w:p>
    <w:p>
      <w:pPr>
        <w:pStyle w:val="12"/>
        <w:rPr>
          <w:rFonts w:ascii="Times New Roman" w:hAnsi="Times New Roman"/>
          <w:sz w:val="44"/>
        </w:rPr>
      </w:pPr>
    </w:p>
    <w:p>
      <w:pPr>
        <w:pStyle w:val="12"/>
        <w:ind w:firstLine="1320" w:firstLineChars="300"/>
        <w:rPr>
          <w:rFonts w:ascii="Times New Roman" w:hAnsi="Times New Roman"/>
          <w:sz w:val="44"/>
        </w:rPr>
      </w:pPr>
    </w:p>
    <w:p>
      <w:pPr>
        <w:pStyle w:val="12"/>
        <w:spacing w:line="360" w:lineRule="auto"/>
        <w:ind w:firstLine="1584" w:firstLineChars="495"/>
        <w:rPr>
          <w:rFonts w:ascii="Times New Roman" w:hAnsi="Times New Roman"/>
          <w:sz w:val="32"/>
          <w:szCs w:val="32"/>
          <w:u w:val="single"/>
        </w:rPr>
      </w:pPr>
      <w:r>
        <w:rPr>
          <w:rFonts w:hint="eastAsia" w:ascii="Times New Roman" w:hAnsi="Times New Roman"/>
          <w:sz w:val="32"/>
          <w:szCs w:val="32"/>
        </w:rPr>
        <w:t>供应商名称：（盖章）</w:t>
      </w:r>
    </w:p>
    <w:p>
      <w:pPr>
        <w:pStyle w:val="12"/>
        <w:spacing w:line="360" w:lineRule="auto"/>
        <w:ind w:firstLine="1600" w:firstLineChars="500"/>
        <w:rPr>
          <w:rFonts w:ascii="Times New Roman" w:hAnsi="Times New Roman"/>
          <w:sz w:val="32"/>
          <w:szCs w:val="32"/>
          <w:u w:val="single"/>
        </w:rPr>
      </w:pPr>
      <w:r>
        <w:rPr>
          <w:rFonts w:hint="eastAsia" w:ascii="Times New Roman" w:hAnsi="Times New Roman"/>
          <w:sz w:val="32"/>
          <w:szCs w:val="32"/>
        </w:rPr>
        <w:t>日期：</w:t>
      </w:r>
    </w:p>
    <w:p>
      <w:pPr>
        <w:spacing w:line="500" w:lineRule="exact"/>
        <w:jc w:val="center"/>
        <w:outlineLvl w:val="0"/>
        <w:rPr>
          <w:rFonts w:ascii="Times New Roman" w:hAnsi="Times New Roman"/>
          <w:b/>
          <w:sz w:val="44"/>
          <w:szCs w:val="44"/>
        </w:rPr>
      </w:pPr>
      <w:r>
        <w:rPr>
          <w:rFonts w:ascii="Times New Roman" w:hAnsi="Times New Roman"/>
          <w:b/>
        </w:rPr>
        <w:br w:type="page"/>
      </w:r>
      <w:r>
        <w:rPr>
          <w:rFonts w:hint="eastAsia" w:ascii="Times New Roman" w:hAnsi="Times New Roman"/>
          <w:b/>
          <w:bCs/>
          <w:sz w:val="36"/>
          <w:szCs w:val="36"/>
        </w:rPr>
        <w:t>目录</w:t>
      </w:r>
    </w:p>
    <w:p>
      <w:pPr>
        <w:adjustRightInd w:val="0"/>
        <w:snapToGrid w:val="0"/>
        <w:jc w:val="center"/>
        <w:rPr>
          <w:rFonts w:ascii="Times New Roman" w:hAnsi="Times New Roman"/>
          <w:b/>
          <w:sz w:val="44"/>
          <w:szCs w:val="44"/>
        </w:rPr>
      </w:pPr>
    </w:p>
    <w:p>
      <w:pPr>
        <w:adjustRightInd w:val="0"/>
        <w:snapToGrid w:val="0"/>
        <w:jc w:val="center"/>
        <w:rPr>
          <w:rFonts w:ascii="Times New Roman" w:hAnsi="Times New Roman"/>
          <w:b/>
          <w:sz w:val="24"/>
          <w:szCs w:val="24"/>
        </w:rPr>
      </w:pPr>
      <w:r>
        <w:rPr>
          <w:rFonts w:hint="eastAsia" w:ascii="Times New Roman" w:hAnsi="Times New Roman"/>
          <w:b/>
          <w:sz w:val="24"/>
          <w:szCs w:val="24"/>
        </w:rPr>
        <w:t>（格式自定）</w:t>
      </w:r>
    </w:p>
    <w:p>
      <w:pPr>
        <w:spacing w:line="500" w:lineRule="exact"/>
        <w:jc w:val="center"/>
        <w:outlineLvl w:val="0"/>
        <w:rPr>
          <w:rFonts w:ascii="Times New Roman" w:hAnsi="Times New Roman"/>
          <w:b/>
          <w:bCs/>
          <w:sz w:val="36"/>
          <w:szCs w:val="36"/>
        </w:rPr>
      </w:pPr>
      <w:r>
        <w:rPr>
          <w:rFonts w:ascii="Times New Roman" w:hAnsi="Times New Roman"/>
          <w:b/>
        </w:rPr>
        <w:br w:type="page"/>
      </w:r>
      <w:r>
        <w:rPr>
          <w:rFonts w:hint="eastAsia" w:ascii="Times New Roman" w:hAnsi="Times New Roman"/>
          <w:b/>
          <w:bCs/>
          <w:sz w:val="32"/>
          <w:szCs w:val="36"/>
        </w:rPr>
        <w:t>一、竞争性磋商书</w:t>
      </w:r>
    </w:p>
    <w:p>
      <w:pPr>
        <w:spacing w:line="500" w:lineRule="exact"/>
        <w:ind w:left="-88" w:leftChars="-42"/>
        <w:rPr>
          <w:rFonts w:ascii="宋体" w:hAnsi="宋体"/>
        </w:rPr>
      </w:pPr>
    </w:p>
    <w:p>
      <w:pPr>
        <w:spacing w:line="360" w:lineRule="auto"/>
        <w:rPr>
          <w:rFonts w:ascii="宋体" w:hAnsi="宋体"/>
        </w:rPr>
      </w:pPr>
      <w:r>
        <w:rPr>
          <w:rFonts w:hint="eastAsia" w:ascii="宋体" w:hAnsi="宋体"/>
        </w:rPr>
        <w:t>致：</w:t>
      </w:r>
      <w:r>
        <w:rPr>
          <w:rFonts w:hint="eastAsia" w:ascii="宋体" w:hAnsi="宋体"/>
          <w:u w:val="single"/>
        </w:rPr>
        <w:t>（采购人名称）</w:t>
      </w:r>
    </w:p>
    <w:p>
      <w:pPr>
        <w:spacing w:line="360" w:lineRule="auto"/>
        <w:ind w:firstLine="420" w:firstLineChars="200"/>
        <w:rPr>
          <w:rFonts w:ascii="宋体" w:hAnsi="宋体"/>
        </w:rPr>
      </w:pPr>
      <w:r>
        <w:rPr>
          <w:rFonts w:ascii="宋体" w:hAnsi="宋体"/>
        </w:rPr>
        <w:t>1</w:t>
      </w:r>
      <w:r>
        <w:rPr>
          <w:rFonts w:hint="eastAsia" w:ascii="宋体" w:hAnsi="宋体"/>
        </w:rPr>
        <w:t>、根据你方项目编号为的</w:t>
      </w:r>
      <w:r>
        <w:rPr>
          <w:rFonts w:hint="eastAsia" w:ascii="宋体" w:hAnsi="宋体"/>
          <w:u w:val="single"/>
        </w:rPr>
        <w:t>（项目名称）</w:t>
      </w:r>
      <w:r>
        <w:rPr>
          <w:rFonts w:hint="eastAsia" w:ascii="宋体" w:hAnsi="宋体"/>
        </w:rPr>
        <w:t>工程竞争性磋商文件，遵照《中华人民共和国政府采购法》等有关规定，经踏勘项目现场和研究上述竞争性磋商文件的供应商须知、合同条款、图纸、工程建设标准和工程量清单及其他有关文件后，我方愿以</w:t>
      </w:r>
      <w:r>
        <w:rPr>
          <w:rFonts w:hint="eastAsia" w:ascii="宋体" w:hAnsi="宋体"/>
          <w:u w:val="single"/>
        </w:rPr>
        <w:t>（币种，金额，单位）（小写）</w:t>
      </w:r>
      <w:r>
        <w:rPr>
          <w:rFonts w:hint="eastAsia" w:ascii="宋体" w:hAnsi="宋体"/>
        </w:rPr>
        <w:t>的总报价并按上述图纸、合同条款、工程建设标准和工程量清单的条件要求承包上述工程的施工、竣工并承担任何质量缺陷保修责任。</w:t>
      </w:r>
    </w:p>
    <w:p>
      <w:pPr>
        <w:spacing w:line="360" w:lineRule="auto"/>
        <w:ind w:firstLine="420" w:firstLineChars="200"/>
        <w:rPr>
          <w:rFonts w:ascii="宋体" w:hAnsi="宋体"/>
        </w:rPr>
      </w:pPr>
      <w:r>
        <w:rPr>
          <w:rFonts w:ascii="宋体" w:hAnsi="宋体"/>
        </w:rPr>
        <w:t>2</w:t>
      </w:r>
      <w:r>
        <w:rPr>
          <w:rFonts w:hint="eastAsia" w:ascii="宋体" w:hAnsi="宋体"/>
        </w:rPr>
        <w:t>、我方已详细审核全部竞争性磋商文件，包括修改文件及有关附件。</w:t>
      </w:r>
    </w:p>
    <w:p>
      <w:pPr>
        <w:spacing w:line="360" w:lineRule="auto"/>
        <w:ind w:firstLine="420" w:firstLineChars="200"/>
        <w:rPr>
          <w:rFonts w:ascii="宋体" w:hAnsi="宋体"/>
        </w:rPr>
      </w:pPr>
      <w:r>
        <w:rPr>
          <w:rFonts w:ascii="宋体" w:hAnsi="宋体"/>
        </w:rPr>
        <w:t>3</w:t>
      </w:r>
      <w:r>
        <w:rPr>
          <w:rFonts w:hint="eastAsia" w:ascii="宋体" w:hAnsi="宋体"/>
        </w:rPr>
        <w:t>、我方承认磋商函附录是我方磋商函的组成部分。</w:t>
      </w:r>
    </w:p>
    <w:p>
      <w:pPr>
        <w:spacing w:line="360" w:lineRule="auto"/>
        <w:ind w:firstLine="420" w:firstLineChars="200"/>
        <w:rPr>
          <w:rFonts w:ascii="宋体" w:hAnsi="宋体"/>
        </w:rPr>
      </w:pPr>
      <w:r>
        <w:rPr>
          <w:rFonts w:ascii="宋体" w:hAnsi="宋体"/>
        </w:rPr>
        <w:t>4</w:t>
      </w:r>
      <w:r>
        <w:rPr>
          <w:rFonts w:hint="eastAsia" w:ascii="宋体" w:hAnsi="宋体"/>
        </w:rPr>
        <w:t>、我方承诺磋商有效期为天。</w:t>
      </w:r>
    </w:p>
    <w:p>
      <w:pPr>
        <w:spacing w:line="360" w:lineRule="auto"/>
        <w:ind w:firstLine="420" w:firstLineChars="200"/>
        <w:rPr>
          <w:rFonts w:ascii="宋体" w:hAnsi="宋体"/>
        </w:rPr>
      </w:pPr>
      <w:r>
        <w:rPr>
          <w:rFonts w:ascii="宋体" w:hAnsi="宋体"/>
        </w:rPr>
        <w:t>5</w:t>
      </w:r>
      <w:r>
        <w:rPr>
          <w:rFonts w:hint="eastAsia" w:ascii="宋体" w:hAnsi="宋体"/>
        </w:rPr>
        <w:t>、一旦我方成交，我方保证按磋商函附录第</w:t>
      </w:r>
      <w:r>
        <w:rPr>
          <w:rFonts w:ascii="宋体" w:hAnsi="宋体"/>
        </w:rPr>
        <w:t>3</w:t>
      </w:r>
      <w:r>
        <w:rPr>
          <w:rFonts w:hint="eastAsia" w:ascii="宋体" w:hAnsi="宋体"/>
        </w:rPr>
        <w:t>项承诺的工期日历天内完成并移交全部工程。</w:t>
      </w:r>
    </w:p>
    <w:p>
      <w:pPr>
        <w:spacing w:line="360" w:lineRule="auto"/>
        <w:ind w:firstLine="420" w:firstLineChars="200"/>
        <w:rPr>
          <w:rFonts w:ascii="宋体" w:hAnsi="宋体"/>
        </w:rPr>
      </w:pPr>
      <w:r>
        <w:rPr>
          <w:rFonts w:ascii="宋体" w:hAnsi="宋体"/>
        </w:rPr>
        <w:t>6</w:t>
      </w:r>
      <w:r>
        <w:rPr>
          <w:rFonts w:hint="eastAsia" w:ascii="宋体" w:hAnsi="宋体"/>
        </w:rPr>
        <w:t>、我方同意所提交的响应文件在“竞争性磋商须知”第8条规定的磋商有效期内有效，在此期间内如果成交，我方将受此约束。</w:t>
      </w:r>
    </w:p>
    <w:p>
      <w:pPr>
        <w:spacing w:line="360" w:lineRule="auto"/>
        <w:ind w:firstLine="420" w:firstLineChars="200"/>
        <w:rPr>
          <w:rFonts w:ascii="宋体" w:hAnsi="宋体"/>
        </w:rPr>
      </w:pPr>
      <w:r>
        <w:rPr>
          <w:rFonts w:hint="eastAsia" w:ascii="宋体" w:hAnsi="宋体"/>
        </w:rPr>
        <w:t>7、除非另外达成协议并生效，你方的成交通知书和本响应文件将成为约束双方的合同文件的组成部分。</w:t>
      </w:r>
    </w:p>
    <w:p>
      <w:pPr>
        <w:rPr>
          <w:rFonts w:ascii="宋体" w:hAnsi="宋体"/>
        </w:rPr>
      </w:pPr>
    </w:p>
    <w:p>
      <w:pPr>
        <w:rPr>
          <w:rFonts w:ascii="宋体" w:hAnsi="宋体"/>
        </w:rPr>
      </w:pPr>
    </w:p>
    <w:p>
      <w:pPr>
        <w:spacing w:line="360" w:lineRule="auto"/>
        <w:ind w:left="2730" w:leftChars="1300"/>
        <w:rPr>
          <w:rFonts w:ascii="宋体" w:hAnsi="宋体"/>
        </w:rPr>
      </w:pPr>
      <w:r>
        <w:rPr>
          <w:rFonts w:hint="eastAsia" w:ascii="宋体" w:hAnsi="宋体"/>
        </w:rPr>
        <w:t>供应商：</w:t>
      </w:r>
      <w:r>
        <w:rPr>
          <w:rFonts w:hint="eastAsia" w:ascii="宋体" w:hAnsi="宋体"/>
          <w:u w:val="single"/>
        </w:rPr>
        <w:t>（盖章）</w:t>
      </w:r>
    </w:p>
    <w:p>
      <w:pPr>
        <w:spacing w:line="360" w:lineRule="auto"/>
        <w:ind w:left="2730" w:leftChars="1300"/>
        <w:rPr>
          <w:rFonts w:ascii="宋体" w:hAnsi="宋体"/>
        </w:rPr>
      </w:pPr>
      <w:r>
        <w:rPr>
          <w:rFonts w:hint="eastAsia" w:ascii="宋体" w:hAnsi="宋体"/>
        </w:rPr>
        <w:t>单位地址：</w:t>
      </w:r>
    </w:p>
    <w:p>
      <w:pPr>
        <w:spacing w:line="360" w:lineRule="auto"/>
        <w:ind w:left="2730" w:leftChars="1300"/>
        <w:rPr>
          <w:rFonts w:ascii="宋体" w:hAnsi="宋体"/>
        </w:rPr>
      </w:pPr>
      <w:r>
        <w:rPr>
          <w:rFonts w:hint="eastAsia" w:ascii="宋体" w:hAnsi="宋体"/>
        </w:rPr>
        <w:t>法定代表人或其委托代理人：</w:t>
      </w:r>
      <w:r>
        <w:rPr>
          <w:rFonts w:hint="eastAsia" w:ascii="宋体" w:hAnsi="宋体"/>
          <w:u w:val="single"/>
        </w:rPr>
        <w:t>（签字或盖章）</w:t>
      </w:r>
    </w:p>
    <w:p>
      <w:pPr>
        <w:spacing w:line="360" w:lineRule="auto"/>
        <w:ind w:left="2730" w:leftChars="1300"/>
        <w:rPr>
          <w:rFonts w:ascii="宋体" w:hAnsi="宋体"/>
        </w:rPr>
      </w:pPr>
      <w:r>
        <w:rPr>
          <w:rFonts w:hint="eastAsia" w:ascii="宋体" w:hAnsi="宋体"/>
        </w:rPr>
        <w:t>邮政编码：电话：传真：</w:t>
      </w:r>
    </w:p>
    <w:p>
      <w:pPr>
        <w:spacing w:line="360" w:lineRule="auto"/>
        <w:ind w:left="2730" w:leftChars="1300"/>
        <w:rPr>
          <w:rFonts w:ascii="宋体" w:hAnsi="宋体"/>
        </w:rPr>
      </w:pPr>
      <w:r>
        <w:rPr>
          <w:rFonts w:hint="eastAsia" w:ascii="宋体" w:hAnsi="宋体"/>
        </w:rPr>
        <w:t>开户银行名称：</w:t>
      </w:r>
    </w:p>
    <w:p>
      <w:pPr>
        <w:spacing w:line="360" w:lineRule="auto"/>
        <w:ind w:left="2730" w:leftChars="1300"/>
        <w:rPr>
          <w:rFonts w:ascii="宋体" w:hAnsi="宋体"/>
        </w:rPr>
      </w:pPr>
      <w:r>
        <w:rPr>
          <w:rFonts w:hint="eastAsia" w:ascii="宋体" w:hAnsi="宋体"/>
        </w:rPr>
        <w:t>开户银行账号：</w:t>
      </w:r>
    </w:p>
    <w:p>
      <w:pPr>
        <w:spacing w:line="360" w:lineRule="auto"/>
        <w:ind w:left="2730" w:leftChars="1300"/>
        <w:rPr>
          <w:rFonts w:ascii="宋体" w:hAnsi="宋体"/>
        </w:rPr>
      </w:pPr>
      <w:r>
        <w:rPr>
          <w:rFonts w:hint="eastAsia" w:ascii="宋体" w:hAnsi="宋体"/>
        </w:rPr>
        <w:t>开户银行地址：</w:t>
      </w:r>
    </w:p>
    <w:p>
      <w:pPr>
        <w:spacing w:line="360" w:lineRule="auto"/>
        <w:ind w:left="2730" w:leftChars="1300"/>
        <w:rPr>
          <w:rFonts w:ascii="宋体" w:hAnsi="宋体"/>
        </w:rPr>
      </w:pPr>
      <w:r>
        <w:rPr>
          <w:rFonts w:hint="eastAsia" w:ascii="宋体" w:hAnsi="宋体"/>
        </w:rPr>
        <w:t>开户银行电话：</w:t>
      </w:r>
      <w:r>
        <w:rPr>
          <w:rFonts w:ascii="宋体" w:hAnsi="宋体"/>
        </w:rPr>
        <w:t>.</w:t>
      </w:r>
    </w:p>
    <w:p>
      <w:pPr>
        <w:spacing w:line="360" w:lineRule="auto"/>
        <w:ind w:left="2730" w:leftChars="1300"/>
        <w:rPr>
          <w:rFonts w:ascii="宋体" w:hAnsi="宋体"/>
        </w:rPr>
      </w:pPr>
      <w:r>
        <w:rPr>
          <w:rFonts w:hint="eastAsia" w:ascii="宋体" w:hAnsi="宋体"/>
        </w:rPr>
        <w:t>日期：年月日</w:t>
      </w:r>
    </w:p>
    <w:p>
      <w:pPr>
        <w:spacing w:line="360" w:lineRule="auto"/>
        <w:ind w:left="2730" w:leftChars="1300"/>
        <w:rPr>
          <w:rFonts w:ascii="宋体" w:hAnsi="宋体"/>
        </w:rPr>
      </w:pPr>
    </w:p>
    <w:p>
      <w:pPr>
        <w:pStyle w:val="3"/>
        <w:spacing w:line="500" w:lineRule="exact"/>
        <w:jc w:val="center"/>
        <w:rPr>
          <w:rFonts w:ascii="宋体" w:hAnsi="宋体"/>
          <w:sz w:val="21"/>
          <w:szCs w:val="21"/>
        </w:rPr>
      </w:pPr>
      <w:bookmarkStart w:id="22" w:name="_Toc20296"/>
    </w:p>
    <w:bookmarkEnd w:id="22"/>
    <w:p>
      <w:pPr>
        <w:spacing w:line="500" w:lineRule="exact"/>
        <w:jc w:val="center"/>
        <w:outlineLvl w:val="0"/>
        <w:rPr>
          <w:rFonts w:ascii="宋体" w:hAnsi="宋体"/>
        </w:rPr>
      </w:pPr>
    </w:p>
    <w:p>
      <w:pPr>
        <w:spacing w:line="500" w:lineRule="exact"/>
        <w:jc w:val="center"/>
        <w:outlineLvl w:val="0"/>
        <w:rPr>
          <w:rFonts w:ascii="Times New Roman" w:hAnsi="Times New Roman"/>
          <w:b/>
          <w:bCs/>
          <w:sz w:val="32"/>
          <w:szCs w:val="36"/>
        </w:rPr>
      </w:pPr>
      <w:bookmarkStart w:id="23" w:name="_Toc14366"/>
      <w:r>
        <w:rPr>
          <w:rFonts w:hAnsi="宋体" w:cs="宋体"/>
        </w:rPr>
        <w:br w:type="page"/>
      </w:r>
    </w:p>
    <w:p>
      <w:pPr>
        <w:spacing w:line="500" w:lineRule="exact"/>
        <w:jc w:val="center"/>
        <w:outlineLvl w:val="0"/>
        <w:rPr>
          <w:rFonts w:ascii="Times New Roman" w:hAnsi="Times New Roman"/>
          <w:b/>
          <w:bCs/>
          <w:sz w:val="32"/>
          <w:szCs w:val="36"/>
        </w:rPr>
      </w:pPr>
      <w:r>
        <w:rPr>
          <w:rFonts w:hint="eastAsia" w:ascii="Times New Roman" w:hAnsi="Times New Roman"/>
          <w:b/>
          <w:bCs/>
          <w:sz w:val="32"/>
          <w:szCs w:val="36"/>
        </w:rPr>
        <w:t>二、法定代表人身份证明书</w:t>
      </w:r>
      <w:bookmarkEnd w:id="23"/>
    </w:p>
    <w:p>
      <w:pPr>
        <w:rPr>
          <w:rFonts w:ascii="宋体" w:hAnsi="宋体"/>
        </w:rPr>
      </w:pPr>
    </w:p>
    <w:p>
      <w:pPr>
        <w:rPr>
          <w:rFonts w:ascii="宋体" w:hAnsi="宋体"/>
        </w:rPr>
      </w:pPr>
    </w:p>
    <w:p>
      <w:pPr>
        <w:ind w:left="840" w:leftChars="400"/>
        <w:rPr>
          <w:rFonts w:ascii="宋体" w:hAnsi="宋体"/>
        </w:rPr>
      </w:pPr>
      <w:r>
        <w:rPr>
          <w:rFonts w:hint="eastAsia" w:ascii="宋体" w:hAnsi="宋体"/>
        </w:rPr>
        <w:t>单位名称：</w:t>
      </w:r>
    </w:p>
    <w:p>
      <w:pPr>
        <w:ind w:left="840" w:leftChars="400"/>
        <w:rPr>
          <w:rFonts w:ascii="宋体" w:hAnsi="宋体"/>
        </w:rPr>
      </w:pPr>
    </w:p>
    <w:p>
      <w:pPr>
        <w:ind w:left="840" w:leftChars="400"/>
        <w:rPr>
          <w:rFonts w:ascii="宋体" w:hAnsi="宋体"/>
        </w:rPr>
      </w:pPr>
      <w:r>
        <w:rPr>
          <w:rFonts w:hint="eastAsia" w:ascii="宋体" w:hAnsi="宋体"/>
        </w:rPr>
        <w:t>单位性质：</w:t>
      </w:r>
    </w:p>
    <w:p>
      <w:pPr>
        <w:ind w:left="840" w:leftChars="400"/>
        <w:rPr>
          <w:rFonts w:ascii="宋体" w:hAnsi="宋体"/>
        </w:rPr>
      </w:pPr>
    </w:p>
    <w:p>
      <w:pPr>
        <w:ind w:left="840" w:leftChars="400"/>
        <w:rPr>
          <w:rFonts w:ascii="宋体" w:hAnsi="宋体"/>
        </w:rPr>
      </w:pPr>
      <w:r>
        <w:rPr>
          <w:rFonts w:hint="eastAsia" w:ascii="宋体" w:hAnsi="宋体"/>
        </w:rPr>
        <w:t>地址：</w:t>
      </w:r>
    </w:p>
    <w:p>
      <w:pPr>
        <w:ind w:left="840" w:leftChars="400"/>
        <w:rPr>
          <w:rFonts w:ascii="宋体" w:hAnsi="宋体"/>
        </w:rPr>
      </w:pPr>
    </w:p>
    <w:p>
      <w:pPr>
        <w:ind w:left="840" w:leftChars="400"/>
        <w:rPr>
          <w:rFonts w:ascii="宋体" w:hAnsi="宋体"/>
        </w:rPr>
      </w:pPr>
      <w:r>
        <w:rPr>
          <w:rFonts w:hint="eastAsia" w:ascii="宋体" w:hAnsi="宋体"/>
        </w:rPr>
        <w:t>成立时间：年月日</w:t>
      </w:r>
    </w:p>
    <w:p>
      <w:pPr>
        <w:ind w:left="840" w:leftChars="400"/>
        <w:rPr>
          <w:rFonts w:ascii="宋体" w:hAnsi="宋体"/>
        </w:rPr>
      </w:pPr>
    </w:p>
    <w:p>
      <w:pPr>
        <w:ind w:left="840" w:leftChars="400"/>
        <w:rPr>
          <w:rFonts w:ascii="宋体" w:hAnsi="宋体"/>
        </w:rPr>
      </w:pPr>
      <w:r>
        <w:rPr>
          <w:rFonts w:hint="eastAsia" w:ascii="宋体" w:hAnsi="宋体"/>
        </w:rPr>
        <w:t>经营期限：</w:t>
      </w:r>
    </w:p>
    <w:p>
      <w:pPr>
        <w:ind w:left="840" w:leftChars="400"/>
        <w:rPr>
          <w:rFonts w:ascii="宋体" w:hAnsi="宋体"/>
        </w:rPr>
      </w:pPr>
    </w:p>
    <w:p>
      <w:pPr>
        <w:ind w:left="840" w:leftChars="400"/>
        <w:rPr>
          <w:rFonts w:ascii="宋体" w:hAnsi="宋体"/>
        </w:rPr>
      </w:pPr>
      <w:r>
        <w:rPr>
          <w:rFonts w:hint="eastAsia" w:ascii="宋体" w:hAnsi="宋体"/>
        </w:rPr>
        <w:t>姓名：性别：年龄：职务：</w:t>
      </w:r>
    </w:p>
    <w:p>
      <w:pPr>
        <w:ind w:left="840" w:leftChars="400"/>
        <w:rPr>
          <w:rFonts w:ascii="宋体" w:hAnsi="宋体"/>
        </w:rPr>
      </w:pPr>
    </w:p>
    <w:p>
      <w:pPr>
        <w:ind w:left="840" w:leftChars="400"/>
        <w:rPr>
          <w:rFonts w:ascii="宋体" w:hAnsi="宋体"/>
        </w:rPr>
      </w:pPr>
      <w:r>
        <w:rPr>
          <w:rFonts w:hint="eastAsia" w:ascii="宋体" w:hAnsi="宋体"/>
        </w:rPr>
        <w:t>系</w:t>
      </w:r>
      <w:r>
        <w:rPr>
          <w:rFonts w:hint="eastAsia" w:ascii="宋体" w:hAnsi="宋体"/>
          <w:u w:val="single"/>
        </w:rPr>
        <w:t>（供应商单位名称）</w:t>
      </w:r>
      <w:r>
        <w:rPr>
          <w:rFonts w:hint="eastAsia" w:ascii="宋体" w:hAnsi="宋体"/>
        </w:rPr>
        <w:t>的法定代表人。</w:t>
      </w:r>
    </w:p>
    <w:p>
      <w:pPr>
        <w:rPr>
          <w:rFonts w:ascii="宋体" w:hAnsi="宋体"/>
        </w:rPr>
      </w:pPr>
    </w:p>
    <w:p>
      <w:pPr>
        <w:rPr>
          <w:rFonts w:ascii="宋体" w:hAnsi="宋体"/>
        </w:rPr>
      </w:pPr>
    </w:p>
    <w:p>
      <w:pPr>
        <w:spacing w:line="480" w:lineRule="auto"/>
        <w:ind w:firstLine="420" w:firstLineChars="200"/>
        <w:rPr>
          <w:rFonts w:ascii="宋体" w:hAnsi="宋体"/>
        </w:rPr>
      </w:pPr>
      <w:r>
        <w:rPr>
          <w:rFonts w:hint="eastAsia" w:ascii="宋体" w:hAnsi="宋体"/>
        </w:rPr>
        <w:t>特此证明。</w:t>
      </w:r>
    </w:p>
    <w:p>
      <w:pPr>
        <w:spacing w:line="480" w:lineRule="auto"/>
        <w:ind w:firstLine="420" w:firstLineChars="200"/>
        <w:rPr>
          <w:rFonts w:ascii="宋体" w:hAnsi="宋体"/>
        </w:rPr>
      </w:pPr>
    </w:p>
    <w:p>
      <w:pPr>
        <w:ind w:firstLine="2940" w:firstLineChars="1400"/>
        <w:rPr>
          <w:rFonts w:ascii="宋体" w:hAnsi="宋体"/>
        </w:rPr>
      </w:pPr>
      <w:r>
        <w:rPr>
          <w:rFonts w:hint="eastAsia" w:ascii="宋体" w:hAnsi="宋体"/>
        </w:rPr>
        <w:t>供应商：（盖章）</w:t>
      </w:r>
    </w:p>
    <w:p>
      <w:pPr>
        <w:rPr>
          <w:rFonts w:ascii="宋体" w:hAnsi="宋体"/>
        </w:rPr>
      </w:pPr>
    </w:p>
    <w:p>
      <w:pPr>
        <w:spacing w:line="480" w:lineRule="auto"/>
        <w:ind w:firstLine="2940" w:firstLineChars="1400"/>
        <w:rPr>
          <w:rFonts w:ascii="宋体" w:hAnsi="宋体"/>
        </w:rPr>
      </w:pPr>
      <w:r>
        <w:rPr>
          <w:rFonts w:hint="eastAsia" w:ascii="宋体" w:hAnsi="宋体"/>
        </w:rPr>
        <w:t>日期：年月日</w:t>
      </w:r>
    </w:p>
    <w:p>
      <w:pPr>
        <w:spacing w:line="480" w:lineRule="auto"/>
        <w:ind w:firstLine="3360" w:firstLineChars="1600"/>
        <w:rPr>
          <w:rFonts w:ascii="宋体" w:hAnsi="宋体"/>
        </w:rPr>
      </w:pPr>
    </w:p>
    <w:p>
      <w:pPr>
        <w:spacing w:line="500" w:lineRule="exact"/>
        <w:jc w:val="center"/>
        <w:outlineLvl w:val="0"/>
        <w:rPr>
          <w:rFonts w:ascii="宋体" w:hAnsi="宋体"/>
        </w:rPr>
      </w:pPr>
      <w:r>
        <mc:AlternateContent>
          <mc:Choice Requires="wps">
            <w:drawing>
              <wp:anchor distT="0" distB="0" distL="114300" distR="114300" simplePos="0" relativeHeight="251659264" behindDoc="0" locked="0" layoutInCell="1" allowOverlap="1">
                <wp:simplePos x="0" y="0"/>
                <wp:positionH relativeFrom="column">
                  <wp:posOffset>-115570</wp:posOffset>
                </wp:positionH>
                <wp:positionV relativeFrom="paragraph">
                  <wp:posOffset>358775</wp:posOffset>
                </wp:positionV>
                <wp:extent cx="5745480" cy="3131820"/>
                <wp:effectExtent l="5080" t="4445" r="10160" b="18415"/>
                <wp:wrapNone/>
                <wp:docPr id="1" name="Rectangle 2"/>
                <wp:cNvGraphicFramePr/>
                <a:graphic xmlns:a="http://schemas.openxmlformats.org/drawingml/2006/main">
                  <a:graphicData uri="http://schemas.microsoft.com/office/word/2010/wordprocessingShape">
                    <wps:wsp>
                      <wps:cNvSpPr/>
                      <wps:spPr>
                        <a:xfrm>
                          <a:off x="0" y="0"/>
                          <a:ext cx="5745480" cy="313182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附：法人代表身份证复印件加盖公章</w:t>
                            </w:r>
                          </w:p>
                        </w:txbxContent>
                      </wps:txbx>
                      <wps:bodyPr upright="1"/>
                    </wps:wsp>
                  </a:graphicData>
                </a:graphic>
              </wp:anchor>
            </w:drawing>
          </mc:Choice>
          <mc:Fallback>
            <w:pict>
              <v:rect id="Rectangle 2" o:spid="_x0000_s1026" o:spt="1" style="position:absolute;left:0pt;margin-left:-9.1pt;margin-top:28.25pt;height:246.6pt;width:452.4pt;z-index:251659264;mso-width-relative:page;mso-height-relative:page;" fillcolor="#FFFFFF" filled="t" stroked="t" coordsize="21600,21600" o:gfxdata="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W9MRH2QAAAAoBAAAPAAAAAAAAAAEAIAAAACIAAABkcnMvZG93&#10;bnJldi54bWxQSwECFAAUAAAACACHTuJApIW5ef8BAAA7BAAADgAAAAAAAAABACAAAAAoAQAAZHJz&#10;L2Uyb0RvYy54bWxQSwUGAAAAAAYABgBZAQAAmQUAAAAA&#10;">
                <v:fill on="t" focussize="0,0"/>
                <v:stroke color="#000000" joinstyle="miter"/>
                <v:imagedata o:title=""/>
                <o:lock v:ext="edit" aspectratio="f"/>
                <v:textbox>
                  <w:txbxContent>
                    <w:p>
                      <w:r>
                        <w:rPr>
                          <w:rFonts w:hint="eastAsia"/>
                        </w:rPr>
                        <w:t>附：法人代表身份证复印件加盖公章</w:t>
                      </w:r>
                    </w:p>
                  </w:txbxContent>
                </v:textbox>
              </v:rect>
            </w:pict>
          </mc:Fallback>
        </mc:AlternateContent>
      </w:r>
      <w:r>
        <w:rPr>
          <w:rFonts w:ascii="宋体" w:hAnsi="宋体"/>
        </w:rPr>
        <w:br w:type="page"/>
      </w:r>
      <w:bookmarkStart w:id="24" w:name="_Toc12267"/>
      <w:r>
        <w:rPr>
          <w:rFonts w:hint="eastAsia" w:ascii="Times New Roman" w:hAnsi="Times New Roman"/>
          <w:b/>
          <w:bCs/>
          <w:sz w:val="32"/>
          <w:szCs w:val="36"/>
        </w:rPr>
        <w:t>三、法定代表人授权委托书</w:t>
      </w:r>
      <w:bookmarkEnd w:id="24"/>
    </w:p>
    <w:p>
      <w:pPr>
        <w:rPr>
          <w:rFonts w:ascii="宋体" w:hAnsi="宋体"/>
        </w:rPr>
      </w:pPr>
    </w:p>
    <w:p>
      <w:pPr>
        <w:spacing w:line="600" w:lineRule="exact"/>
        <w:ind w:firstLine="420" w:firstLineChars="200"/>
        <w:rPr>
          <w:rFonts w:ascii="宋体" w:hAnsi="宋体"/>
        </w:rPr>
      </w:pPr>
      <w:r>
        <w:rPr>
          <w:rFonts w:hint="eastAsia" w:ascii="宋体" w:hAnsi="宋体"/>
        </w:rPr>
        <w:t>本授权委托书声明：我（姓名）系（供应商）的法定代表人，现授权委托（单位）（姓名）为我的代理人，以本公司的名义参加（采购人）的工程的磋商。授权委托人在本项目磋商过程中所签署的一切文件和处理与之有关的一切事务，我均予以承认。</w:t>
      </w:r>
    </w:p>
    <w:p>
      <w:pPr>
        <w:spacing w:line="600" w:lineRule="exact"/>
        <w:rPr>
          <w:rFonts w:ascii="宋体" w:hAnsi="宋体"/>
        </w:rPr>
      </w:pPr>
    </w:p>
    <w:p>
      <w:pPr>
        <w:spacing w:line="400" w:lineRule="exact"/>
        <w:rPr>
          <w:rFonts w:ascii="宋体" w:hAnsi="宋体"/>
        </w:rPr>
      </w:pPr>
    </w:p>
    <w:p>
      <w:pPr>
        <w:spacing w:line="400" w:lineRule="exact"/>
        <w:ind w:firstLine="420" w:firstLineChars="200"/>
        <w:rPr>
          <w:rFonts w:ascii="宋体" w:hAnsi="宋体"/>
        </w:rPr>
      </w:pPr>
      <w:r>
        <w:rPr>
          <w:rFonts w:hint="eastAsia" w:ascii="宋体" w:hAnsi="宋体"/>
        </w:rPr>
        <w:t>代理人无转委托权，特此委托。</w:t>
      </w:r>
    </w:p>
    <w:p>
      <w:pPr>
        <w:spacing w:line="400" w:lineRule="exact"/>
        <w:ind w:firstLine="420" w:firstLineChars="200"/>
        <w:rPr>
          <w:rFonts w:ascii="宋体" w:hAnsi="宋体"/>
        </w:rPr>
      </w:pPr>
    </w:p>
    <w:p>
      <w:pPr>
        <w:spacing w:line="400" w:lineRule="exact"/>
        <w:ind w:firstLine="420" w:firstLineChars="200"/>
        <w:rPr>
          <w:rFonts w:ascii="宋体" w:hAnsi="宋体"/>
        </w:rPr>
      </w:pPr>
    </w:p>
    <w:p>
      <w:pPr>
        <w:spacing w:line="400" w:lineRule="exact"/>
        <w:ind w:firstLine="420" w:firstLineChars="200"/>
        <w:rPr>
          <w:rFonts w:ascii="宋体" w:hAnsi="宋体"/>
        </w:rPr>
      </w:pPr>
    </w:p>
    <w:p>
      <w:pPr>
        <w:spacing w:line="400" w:lineRule="exact"/>
        <w:rPr>
          <w:rFonts w:ascii="宋体" w:hAnsi="宋体"/>
        </w:rPr>
      </w:pPr>
      <w:r>
        <w:rPr>
          <w:rFonts w:hint="eastAsia" w:ascii="宋体" w:hAnsi="宋体"/>
        </w:rPr>
        <w:t>供应商（盖章）：</w:t>
      </w:r>
    </w:p>
    <w:p>
      <w:pPr>
        <w:spacing w:line="400" w:lineRule="exact"/>
        <w:ind w:left="3150" w:leftChars="1500"/>
        <w:rPr>
          <w:rFonts w:ascii="宋体" w:hAnsi="宋体"/>
        </w:rPr>
      </w:pPr>
    </w:p>
    <w:p>
      <w:pPr>
        <w:spacing w:line="400" w:lineRule="exact"/>
        <w:rPr>
          <w:rFonts w:ascii="宋体" w:hAnsi="宋体"/>
        </w:rPr>
      </w:pPr>
      <w:r>
        <w:rPr>
          <w:rFonts w:hint="eastAsia" w:ascii="宋体" w:hAnsi="宋体"/>
        </w:rPr>
        <w:t>法定代表人（签字或盖章）：</w:t>
      </w:r>
    </w:p>
    <w:p>
      <w:pPr>
        <w:spacing w:line="400" w:lineRule="exact"/>
        <w:ind w:left="3150" w:leftChars="1500"/>
        <w:rPr>
          <w:rFonts w:ascii="宋体" w:hAnsi="宋体"/>
        </w:rPr>
      </w:pPr>
    </w:p>
    <w:p>
      <w:pPr>
        <w:spacing w:line="400" w:lineRule="exact"/>
        <w:rPr>
          <w:rFonts w:ascii="宋体" w:hAnsi="宋体"/>
        </w:rPr>
      </w:pPr>
      <w:r>
        <w:rPr>
          <w:rFonts w:hint="eastAsia" w:ascii="宋体" w:hAnsi="宋体"/>
        </w:rPr>
        <w:t>代理人：性别：年龄：</w:t>
      </w:r>
    </w:p>
    <w:p>
      <w:pPr>
        <w:spacing w:line="400" w:lineRule="exact"/>
        <w:ind w:left="3150" w:leftChars="1500"/>
        <w:rPr>
          <w:rFonts w:ascii="宋体" w:hAnsi="宋体"/>
        </w:rPr>
      </w:pPr>
    </w:p>
    <w:p>
      <w:pPr>
        <w:spacing w:line="400" w:lineRule="exact"/>
        <w:rPr>
          <w:rFonts w:ascii="宋体" w:hAnsi="宋体"/>
        </w:rPr>
      </w:pPr>
      <w:r>
        <w:rPr>
          <w:rFonts w:hint="eastAsia" w:ascii="宋体" w:hAnsi="宋体"/>
        </w:rPr>
        <w:t>身份证号码：职务：</w:t>
      </w:r>
    </w:p>
    <w:p>
      <w:pPr>
        <w:spacing w:line="400" w:lineRule="exact"/>
        <w:ind w:left="3150" w:leftChars="1500"/>
        <w:rPr>
          <w:rFonts w:ascii="宋体" w:hAnsi="宋体"/>
        </w:rPr>
      </w:pPr>
    </w:p>
    <w:p>
      <w:pPr>
        <w:ind w:left="480" w:hanging="480"/>
        <w:rPr>
          <w:rFonts w:ascii="宋体" w:hAnsi="宋体"/>
        </w:rPr>
      </w:pPr>
      <w:r>
        <w:rPr>
          <w:rFonts w:hint="eastAsia" w:ascii="宋体" w:hAnsi="宋体"/>
        </w:rPr>
        <w:t>授权委托日期：年月日</w:t>
      </w:r>
    </w:p>
    <w:p>
      <w:pPr>
        <w:spacing w:line="500" w:lineRule="exact"/>
        <w:jc w:val="center"/>
        <w:outlineLvl w:val="0"/>
        <w:rPr>
          <w:rFonts w:ascii="宋体" w:hAnsi="宋体"/>
        </w:rPr>
      </w:pPr>
      <w:r>
        <mc:AlternateContent>
          <mc:Choice Requires="wps">
            <w:drawing>
              <wp:anchor distT="0" distB="0" distL="114300" distR="114300" simplePos="0" relativeHeight="251660288" behindDoc="0" locked="0" layoutInCell="1" allowOverlap="1">
                <wp:simplePos x="0" y="0"/>
                <wp:positionH relativeFrom="column">
                  <wp:posOffset>-85090</wp:posOffset>
                </wp:positionH>
                <wp:positionV relativeFrom="paragraph">
                  <wp:posOffset>197485</wp:posOffset>
                </wp:positionV>
                <wp:extent cx="5699760" cy="2301240"/>
                <wp:effectExtent l="5080" t="4445" r="10160" b="10795"/>
                <wp:wrapNone/>
                <wp:docPr id="2" name="Rectangle 3"/>
                <wp:cNvGraphicFramePr/>
                <a:graphic xmlns:a="http://schemas.openxmlformats.org/drawingml/2006/main">
                  <a:graphicData uri="http://schemas.microsoft.com/office/word/2010/wordprocessingShape">
                    <wps:wsp>
                      <wps:cNvSpPr/>
                      <wps:spPr>
                        <a:xfrm>
                          <a:off x="0" y="0"/>
                          <a:ext cx="5699760" cy="230124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r>
                              <w:rPr>
                                <w:rFonts w:hint="eastAsia"/>
                              </w:rPr>
                              <w:t>附：法定代表人授权委托人身份证复印件加盖公章</w:t>
                            </w:r>
                          </w:p>
                        </w:txbxContent>
                      </wps:txbx>
                      <wps:bodyPr upright="1"/>
                    </wps:wsp>
                  </a:graphicData>
                </a:graphic>
              </wp:anchor>
            </w:drawing>
          </mc:Choice>
          <mc:Fallback>
            <w:pict>
              <v:rect id="Rectangle 3" o:spid="_x0000_s1026" o:spt="1" style="position:absolute;left:0pt;margin-left:-6.7pt;margin-top:15.55pt;height:181.2pt;width:448.8pt;z-index:251660288;mso-width-relative:page;mso-height-relative:page;" fillcolor="#FFFFFF" filled="t" stroked="t" coordsize="21600,21600" o:gfxdata="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X1bPN2QAAAAoBAAAPAAAAAAAAAAEAIAAAACIAAABkcnMvZG93&#10;bnJldi54bWxQSwECFAAUAAAACACHTuJAYfIYa/8BAAA7BAAADgAAAAAAAAABACAAAAAoAQAAZHJz&#10;L2Uyb0RvYy54bWxQSwUGAAAAAAYABgBZAQAAmQUAAAAA&#10;">
                <v:fill on="t" focussize="0,0"/>
                <v:stroke color="#000000" joinstyle="miter"/>
                <v:imagedata o:title=""/>
                <o:lock v:ext="edit" aspectratio="f"/>
                <v:textbox>
                  <w:txbxContent>
                    <w:p>
                      <w:r>
                        <w:rPr>
                          <w:rFonts w:hint="eastAsia"/>
                        </w:rPr>
                        <w:t>附：法定代表人授权委托人身份证复印件加盖公章</w:t>
                      </w:r>
                    </w:p>
                  </w:txbxContent>
                </v:textbox>
              </v:rect>
            </w:pict>
          </mc:Fallback>
        </mc:AlternateContent>
      </w:r>
      <w:r>
        <w:rPr>
          <w:rFonts w:ascii="宋体" w:hAnsi="宋体"/>
        </w:rPr>
        <w:br w:type="page"/>
      </w:r>
      <w:bookmarkStart w:id="25" w:name="_Toc10506"/>
      <w:r>
        <w:rPr>
          <w:rFonts w:hint="eastAsia" w:ascii="Times New Roman" w:hAnsi="Times New Roman"/>
          <w:b/>
          <w:bCs/>
          <w:sz w:val="32"/>
          <w:szCs w:val="36"/>
        </w:rPr>
        <w:t>四、项目管理机构配备情况</w:t>
      </w:r>
      <w:bookmarkEnd w:id="25"/>
    </w:p>
    <w:p>
      <w:pPr>
        <w:spacing w:line="500" w:lineRule="exact"/>
        <w:jc w:val="center"/>
        <w:outlineLvl w:val="0"/>
        <w:rPr>
          <w:rFonts w:ascii="Times New Roman" w:hAnsi="Times New Roman"/>
          <w:b/>
          <w:bCs/>
          <w:sz w:val="28"/>
          <w:szCs w:val="36"/>
        </w:rPr>
      </w:pPr>
      <w:r>
        <w:rPr>
          <w:rFonts w:hint="eastAsia" w:ascii="Times New Roman" w:hAnsi="Times New Roman"/>
          <w:b/>
          <w:bCs/>
          <w:sz w:val="28"/>
          <w:szCs w:val="36"/>
        </w:rPr>
        <w:t>（</w:t>
      </w:r>
      <w:r>
        <w:rPr>
          <w:rFonts w:ascii="Times New Roman" w:hAnsi="Times New Roman"/>
          <w:b/>
          <w:bCs/>
          <w:sz w:val="28"/>
          <w:szCs w:val="36"/>
        </w:rPr>
        <w:t>1</w:t>
      </w:r>
      <w:r>
        <w:rPr>
          <w:rFonts w:hint="eastAsia" w:ascii="Times New Roman" w:hAnsi="Times New Roman"/>
          <w:b/>
          <w:bCs/>
          <w:sz w:val="28"/>
          <w:szCs w:val="36"/>
        </w:rPr>
        <w:t>）项目管理机构配备情况表</w:t>
      </w:r>
    </w:p>
    <w:p>
      <w:pPr>
        <w:snapToGrid w:val="0"/>
        <w:spacing w:line="360" w:lineRule="auto"/>
        <w:ind w:firstLine="210" w:firstLineChars="100"/>
        <w:rPr>
          <w:rFonts w:ascii="宋体" w:hAnsi="宋体"/>
        </w:rPr>
      </w:pPr>
      <w:r>
        <w:rPr>
          <w:rFonts w:hint="eastAsia" w:ascii="宋体" w:hAnsi="宋体"/>
          <w:u w:val="single"/>
        </w:rPr>
        <w:t>（项目名称）工程</w:t>
      </w:r>
    </w:p>
    <w:tbl>
      <w:tblPr>
        <w:tblStyle w:val="26"/>
        <w:tblW w:w="86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222"/>
        <w:gridCol w:w="836"/>
        <w:gridCol w:w="824"/>
        <w:gridCol w:w="824"/>
        <w:gridCol w:w="836"/>
        <w:gridCol w:w="925"/>
        <w:gridCol w:w="747"/>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900" w:type="dxa"/>
            <w:vMerge w:val="restart"/>
            <w:vAlign w:val="center"/>
          </w:tcPr>
          <w:p>
            <w:pPr>
              <w:jc w:val="center"/>
              <w:rPr>
                <w:rFonts w:ascii="宋体" w:hAnsi="宋体"/>
              </w:rPr>
            </w:pPr>
            <w:r>
              <w:rPr>
                <w:rFonts w:hint="eastAsia" w:ascii="宋体" w:hAnsi="宋体"/>
              </w:rPr>
              <w:t>职务</w:t>
            </w:r>
          </w:p>
        </w:tc>
        <w:tc>
          <w:tcPr>
            <w:tcW w:w="1222" w:type="dxa"/>
            <w:vMerge w:val="restart"/>
            <w:vAlign w:val="center"/>
          </w:tcPr>
          <w:p>
            <w:pPr>
              <w:jc w:val="center"/>
              <w:rPr>
                <w:rFonts w:ascii="宋体" w:hAnsi="宋体"/>
              </w:rPr>
            </w:pPr>
            <w:r>
              <w:rPr>
                <w:rFonts w:hint="eastAsia" w:ascii="宋体" w:hAnsi="宋体"/>
              </w:rPr>
              <w:t>姓名</w:t>
            </w:r>
          </w:p>
        </w:tc>
        <w:tc>
          <w:tcPr>
            <w:tcW w:w="836" w:type="dxa"/>
            <w:vMerge w:val="restart"/>
            <w:vAlign w:val="center"/>
          </w:tcPr>
          <w:p>
            <w:pPr>
              <w:jc w:val="center"/>
              <w:rPr>
                <w:rFonts w:ascii="宋体" w:hAnsi="宋体"/>
              </w:rPr>
            </w:pPr>
            <w:r>
              <w:rPr>
                <w:rFonts w:hint="eastAsia" w:ascii="宋体" w:hAnsi="宋体"/>
              </w:rPr>
              <w:t>职称</w:t>
            </w:r>
          </w:p>
        </w:tc>
        <w:tc>
          <w:tcPr>
            <w:tcW w:w="3409" w:type="dxa"/>
            <w:gridSpan w:val="4"/>
            <w:vAlign w:val="center"/>
          </w:tcPr>
          <w:p>
            <w:pPr>
              <w:jc w:val="center"/>
              <w:rPr>
                <w:rFonts w:ascii="宋体" w:hAnsi="宋体"/>
              </w:rPr>
            </w:pPr>
            <w:r>
              <w:rPr>
                <w:rFonts w:hint="eastAsia" w:ascii="宋体" w:hAnsi="宋体"/>
              </w:rPr>
              <w:t>执业或职业资格证明</w:t>
            </w:r>
          </w:p>
        </w:tc>
        <w:tc>
          <w:tcPr>
            <w:tcW w:w="2273" w:type="dxa"/>
            <w:gridSpan w:val="2"/>
            <w:vAlign w:val="center"/>
          </w:tcPr>
          <w:p>
            <w:pPr>
              <w:jc w:val="center"/>
              <w:rPr>
                <w:rFonts w:ascii="宋体" w:hAnsi="宋体"/>
              </w:rPr>
            </w:pPr>
            <w:r>
              <w:rPr>
                <w:rFonts w:hint="eastAsia" w:ascii="宋体" w:hAnsi="宋体"/>
              </w:rPr>
              <w:t>已承担在建工程情况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900" w:type="dxa"/>
            <w:vMerge w:val="continue"/>
          </w:tcPr>
          <w:p>
            <w:pPr>
              <w:rPr>
                <w:rFonts w:ascii="宋体" w:hAnsi="宋体"/>
              </w:rPr>
            </w:pPr>
          </w:p>
        </w:tc>
        <w:tc>
          <w:tcPr>
            <w:tcW w:w="1222" w:type="dxa"/>
            <w:vMerge w:val="continue"/>
          </w:tcPr>
          <w:p>
            <w:pPr>
              <w:rPr>
                <w:rFonts w:ascii="宋体" w:hAnsi="宋体"/>
              </w:rPr>
            </w:pPr>
          </w:p>
        </w:tc>
        <w:tc>
          <w:tcPr>
            <w:tcW w:w="836" w:type="dxa"/>
            <w:vMerge w:val="continue"/>
          </w:tcPr>
          <w:p>
            <w:pPr>
              <w:rPr>
                <w:rFonts w:ascii="宋体" w:hAnsi="宋体"/>
              </w:rPr>
            </w:pPr>
          </w:p>
        </w:tc>
        <w:tc>
          <w:tcPr>
            <w:tcW w:w="824" w:type="dxa"/>
            <w:vAlign w:val="center"/>
          </w:tcPr>
          <w:p>
            <w:pPr>
              <w:jc w:val="center"/>
              <w:rPr>
                <w:rFonts w:ascii="宋体" w:hAnsi="宋体"/>
              </w:rPr>
            </w:pPr>
            <w:r>
              <w:rPr>
                <w:rFonts w:hint="eastAsia" w:ascii="宋体" w:hAnsi="宋体"/>
              </w:rPr>
              <w:t>证书名称</w:t>
            </w:r>
          </w:p>
        </w:tc>
        <w:tc>
          <w:tcPr>
            <w:tcW w:w="824" w:type="dxa"/>
            <w:vAlign w:val="center"/>
          </w:tcPr>
          <w:p>
            <w:pPr>
              <w:jc w:val="center"/>
              <w:rPr>
                <w:rFonts w:ascii="宋体" w:hAnsi="宋体"/>
              </w:rPr>
            </w:pPr>
            <w:r>
              <w:rPr>
                <w:rFonts w:hint="eastAsia" w:ascii="宋体" w:hAnsi="宋体"/>
              </w:rPr>
              <w:t>级别</w:t>
            </w:r>
          </w:p>
        </w:tc>
        <w:tc>
          <w:tcPr>
            <w:tcW w:w="836" w:type="dxa"/>
            <w:vAlign w:val="center"/>
          </w:tcPr>
          <w:p>
            <w:pPr>
              <w:jc w:val="center"/>
              <w:rPr>
                <w:rFonts w:ascii="宋体" w:hAnsi="宋体"/>
              </w:rPr>
            </w:pPr>
            <w:r>
              <w:rPr>
                <w:rFonts w:hint="eastAsia" w:ascii="宋体" w:hAnsi="宋体"/>
              </w:rPr>
              <w:t>证号</w:t>
            </w:r>
          </w:p>
        </w:tc>
        <w:tc>
          <w:tcPr>
            <w:tcW w:w="925" w:type="dxa"/>
            <w:vAlign w:val="center"/>
          </w:tcPr>
          <w:p>
            <w:pPr>
              <w:jc w:val="center"/>
              <w:rPr>
                <w:rFonts w:ascii="宋体" w:hAnsi="宋体"/>
              </w:rPr>
            </w:pPr>
            <w:r>
              <w:rPr>
                <w:rFonts w:hint="eastAsia" w:ascii="宋体" w:hAnsi="宋体"/>
              </w:rPr>
              <w:t>专业</w:t>
            </w:r>
          </w:p>
        </w:tc>
        <w:tc>
          <w:tcPr>
            <w:tcW w:w="747" w:type="dxa"/>
            <w:vAlign w:val="center"/>
          </w:tcPr>
          <w:p>
            <w:pPr>
              <w:jc w:val="center"/>
              <w:rPr>
                <w:rFonts w:ascii="宋体" w:hAnsi="宋体"/>
              </w:rPr>
            </w:pPr>
            <w:r>
              <w:rPr>
                <w:rFonts w:hint="eastAsia" w:ascii="宋体" w:hAnsi="宋体"/>
              </w:rPr>
              <w:t>项目数</w:t>
            </w:r>
          </w:p>
        </w:tc>
        <w:tc>
          <w:tcPr>
            <w:tcW w:w="1526" w:type="dxa"/>
            <w:vAlign w:val="center"/>
          </w:tcPr>
          <w:p>
            <w:pPr>
              <w:jc w:val="center"/>
              <w:rPr>
                <w:rFonts w:ascii="宋体" w:hAnsi="宋体"/>
              </w:rPr>
            </w:pPr>
            <w:r>
              <w:rPr>
                <w:rFonts w:hint="eastAsia" w:ascii="宋体" w:hAnsi="宋体"/>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00" w:type="dxa"/>
          </w:tcPr>
          <w:p>
            <w:pPr>
              <w:rPr>
                <w:rFonts w:ascii="宋体" w:hAnsi="宋体"/>
              </w:rPr>
            </w:pPr>
          </w:p>
        </w:tc>
        <w:tc>
          <w:tcPr>
            <w:tcW w:w="1222" w:type="dxa"/>
          </w:tcPr>
          <w:p>
            <w:pPr>
              <w:rPr>
                <w:rFonts w:ascii="宋体" w:hAnsi="宋体"/>
              </w:rPr>
            </w:pPr>
          </w:p>
        </w:tc>
        <w:tc>
          <w:tcPr>
            <w:tcW w:w="836" w:type="dxa"/>
          </w:tcPr>
          <w:p>
            <w:pPr>
              <w:rPr>
                <w:rFonts w:ascii="宋体" w:hAnsi="宋体"/>
              </w:rPr>
            </w:pPr>
          </w:p>
        </w:tc>
        <w:tc>
          <w:tcPr>
            <w:tcW w:w="824" w:type="dxa"/>
          </w:tcPr>
          <w:p>
            <w:pPr>
              <w:rPr>
                <w:rFonts w:ascii="宋体" w:hAnsi="宋体"/>
              </w:rPr>
            </w:pPr>
          </w:p>
        </w:tc>
        <w:tc>
          <w:tcPr>
            <w:tcW w:w="824" w:type="dxa"/>
          </w:tcPr>
          <w:p>
            <w:pPr>
              <w:rPr>
                <w:rFonts w:ascii="宋体" w:hAnsi="宋体"/>
              </w:rPr>
            </w:pPr>
          </w:p>
        </w:tc>
        <w:tc>
          <w:tcPr>
            <w:tcW w:w="836" w:type="dxa"/>
          </w:tcPr>
          <w:p>
            <w:pPr>
              <w:rPr>
                <w:rFonts w:ascii="宋体" w:hAnsi="宋体"/>
              </w:rPr>
            </w:pPr>
          </w:p>
        </w:tc>
        <w:tc>
          <w:tcPr>
            <w:tcW w:w="925" w:type="dxa"/>
          </w:tcPr>
          <w:p>
            <w:pPr>
              <w:rPr>
                <w:rFonts w:ascii="宋体" w:hAnsi="宋体"/>
              </w:rPr>
            </w:pPr>
          </w:p>
        </w:tc>
        <w:tc>
          <w:tcPr>
            <w:tcW w:w="747" w:type="dxa"/>
          </w:tcPr>
          <w:p>
            <w:pPr>
              <w:rPr>
                <w:rFonts w:ascii="宋体" w:hAnsi="宋体"/>
              </w:rPr>
            </w:pPr>
          </w:p>
        </w:tc>
        <w:tc>
          <w:tcPr>
            <w:tcW w:w="1526"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5" w:hRule="atLeast"/>
        </w:trPr>
        <w:tc>
          <w:tcPr>
            <w:tcW w:w="8640" w:type="dxa"/>
            <w:gridSpan w:val="9"/>
          </w:tcPr>
          <w:p>
            <w:pPr>
              <w:ind w:firstLine="420" w:firstLineChars="200"/>
              <w:rPr>
                <w:rFonts w:ascii="宋体" w:hAnsi="宋体"/>
              </w:rPr>
            </w:pPr>
            <w:r>
              <w:rPr>
                <w:rFonts w:hint="eastAsia" w:ascii="宋体" w:hAnsi="宋体"/>
              </w:rPr>
              <w:t>一旦我单位中标，将实行项目经理负责制，并配备上述项目管理机构。我方保证上述填了内容真实，若不真实，愿按有关规定接受处理。项目管理班子机构设置、职责分工等情况另附资料说明</w:t>
            </w:r>
          </w:p>
        </w:tc>
      </w:tr>
    </w:tbl>
    <w:p>
      <w:pPr>
        <w:spacing w:line="360" w:lineRule="auto"/>
        <w:ind w:left="2730" w:leftChars="1300"/>
        <w:rPr>
          <w:rFonts w:ascii="宋体" w:hAnsi="宋体"/>
        </w:rPr>
      </w:pPr>
    </w:p>
    <w:p>
      <w:pPr>
        <w:spacing w:line="360" w:lineRule="auto"/>
        <w:ind w:left="2730" w:leftChars="1300"/>
        <w:rPr>
          <w:rFonts w:ascii="宋体" w:hAnsi="宋体"/>
        </w:rPr>
      </w:pPr>
    </w:p>
    <w:p>
      <w:pPr>
        <w:spacing w:line="360" w:lineRule="auto"/>
        <w:ind w:left="2730" w:leftChars="1300"/>
        <w:rPr>
          <w:rFonts w:ascii="宋体" w:hAnsi="宋体"/>
        </w:rPr>
      </w:pPr>
    </w:p>
    <w:p>
      <w:pPr>
        <w:spacing w:line="360" w:lineRule="auto"/>
        <w:ind w:left="2730" w:leftChars="1300"/>
        <w:rPr>
          <w:rFonts w:ascii="宋体" w:hAnsi="宋体"/>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r>
        <w:rPr>
          <w:rFonts w:hint="eastAsia" w:ascii="Times New Roman" w:hAnsi="Times New Roman"/>
          <w:b/>
          <w:bCs/>
          <w:sz w:val="28"/>
          <w:szCs w:val="36"/>
        </w:rPr>
        <w:t>（</w:t>
      </w:r>
      <w:r>
        <w:rPr>
          <w:rFonts w:ascii="Times New Roman" w:hAnsi="Times New Roman"/>
          <w:b/>
          <w:bCs/>
          <w:sz w:val="28"/>
          <w:szCs w:val="36"/>
        </w:rPr>
        <w:t>2</w:t>
      </w:r>
      <w:r>
        <w:rPr>
          <w:rFonts w:hint="eastAsia" w:ascii="Times New Roman" w:hAnsi="Times New Roman"/>
          <w:b/>
          <w:bCs/>
          <w:sz w:val="28"/>
          <w:szCs w:val="36"/>
        </w:rPr>
        <w:t>）项目经理简历表</w:t>
      </w:r>
    </w:p>
    <w:p>
      <w:pPr>
        <w:spacing w:line="360" w:lineRule="auto"/>
        <w:ind w:firstLine="420" w:firstLineChars="200"/>
        <w:rPr>
          <w:rFonts w:ascii="宋体" w:hAnsi="宋体"/>
        </w:rPr>
      </w:pPr>
      <w:r>
        <w:rPr>
          <w:rFonts w:hint="eastAsia" w:ascii="宋体" w:hAnsi="宋体"/>
          <w:u w:val="single"/>
        </w:rPr>
        <w:t>（项目名称）工程</w:t>
      </w:r>
    </w:p>
    <w:tbl>
      <w:tblPr>
        <w:tblStyle w:val="26"/>
        <w:tblW w:w="8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0"/>
        <w:gridCol w:w="860"/>
        <w:gridCol w:w="950"/>
        <w:gridCol w:w="42"/>
        <w:gridCol w:w="1336"/>
        <w:gridCol w:w="36"/>
        <w:gridCol w:w="1397"/>
        <w:gridCol w:w="10"/>
        <w:gridCol w:w="1272"/>
        <w:gridCol w:w="6"/>
        <w:gridCol w:w="1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331" w:type="dxa"/>
            <w:vAlign w:val="center"/>
          </w:tcPr>
          <w:p>
            <w:pPr>
              <w:jc w:val="center"/>
              <w:rPr>
                <w:rFonts w:ascii="宋体" w:hAnsi="宋体"/>
              </w:rPr>
            </w:pPr>
            <w:r>
              <w:rPr>
                <w:rFonts w:hint="eastAsia" w:ascii="宋体" w:hAnsi="宋体"/>
              </w:rPr>
              <w:t>姓名</w:t>
            </w:r>
          </w:p>
        </w:tc>
        <w:tc>
          <w:tcPr>
            <w:tcW w:w="1862" w:type="dxa"/>
            <w:gridSpan w:val="4"/>
            <w:vAlign w:val="center"/>
          </w:tcPr>
          <w:p>
            <w:pPr>
              <w:jc w:val="center"/>
              <w:rPr>
                <w:rFonts w:ascii="宋体" w:hAnsi="宋体"/>
              </w:rPr>
            </w:pPr>
          </w:p>
        </w:tc>
        <w:tc>
          <w:tcPr>
            <w:tcW w:w="1372" w:type="dxa"/>
            <w:gridSpan w:val="2"/>
            <w:vAlign w:val="center"/>
          </w:tcPr>
          <w:p>
            <w:pPr>
              <w:jc w:val="center"/>
              <w:rPr>
                <w:rFonts w:ascii="宋体" w:hAnsi="宋体"/>
              </w:rPr>
            </w:pPr>
            <w:r>
              <w:rPr>
                <w:rFonts w:hint="eastAsia" w:ascii="宋体" w:hAnsi="宋体"/>
              </w:rPr>
              <w:t>性别</w:t>
            </w:r>
          </w:p>
        </w:tc>
        <w:tc>
          <w:tcPr>
            <w:tcW w:w="1407" w:type="dxa"/>
            <w:gridSpan w:val="2"/>
            <w:vAlign w:val="center"/>
          </w:tcPr>
          <w:p>
            <w:pPr>
              <w:jc w:val="center"/>
              <w:rPr>
                <w:rFonts w:ascii="宋体" w:hAnsi="宋体"/>
              </w:rPr>
            </w:pPr>
          </w:p>
        </w:tc>
        <w:tc>
          <w:tcPr>
            <w:tcW w:w="1272" w:type="dxa"/>
            <w:vAlign w:val="center"/>
          </w:tcPr>
          <w:p>
            <w:pPr>
              <w:jc w:val="center"/>
              <w:rPr>
                <w:rFonts w:ascii="宋体" w:hAnsi="宋体"/>
              </w:rPr>
            </w:pPr>
            <w:r>
              <w:rPr>
                <w:rFonts w:hint="eastAsia" w:ascii="宋体" w:hAnsi="宋体"/>
              </w:rPr>
              <w:t>年龄</w:t>
            </w:r>
          </w:p>
        </w:tc>
        <w:tc>
          <w:tcPr>
            <w:tcW w:w="1481"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331" w:type="dxa"/>
            <w:vAlign w:val="center"/>
          </w:tcPr>
          <w:p>
            <w:pPr>
              <w:jc w:val="center"/>
              <w:rPr>
                <w:rFonts w:ascii="宋体" w:hAnsi="宋体"/>
              </w:rPr>
            </w:pPr>
            <w:r>
              <w:rPr>
                <w:rFonts w:hint="eastAsia" w:ascii="宋体" w:hAnsi="宋体"/>
              </w:rPr>
              <w:t>职务</w:t>
            </w:r>
          </w:p>
        </w:tc>
        <w:tc>
          <w:tcPr>
            <w:tcW w:w="1862" w:type="dxa"/>
            <w:gridSpan w:val="4"/>
            <w:vAlign w:val="center"/>
          </w:tcPr>
          <w:p>
            <w:pPr>
              <w:jc w:val="center"/>
              <w:rPr>
                <w:rFonts w:ascii="宋体" w:hAnsi="宋体"/>
              </w:rPr>
            </w:pPr>
          </w:p>
        </w:tc>
        <w:tc>
          <w:tcPr>
            <w:tcW w:w="1372" w:type="dxa"/>
            <w:gridSpan w:val="2"/>
            <w:vAlign w:val="center"/>
          </w:tcPr>
          <w:p>
            <w:pPr>
              <w:jc w:val="center"/>
              <w:rPr>
                <w:rFonts w:ascii="宋体" w:hAnsi="宋体"/>
              </w:rPr>
            </w:pPr>
            <w:r>
              <w:rPr>
                <w:rFonts w:hint="eastAsia" w:ascii="宋体" w:hAnsi="宋体"/>
              </w:rPr>
              <w:t>职称</w:t>
            </w:r>
          </w:p>
        </w:tc>
        <w:tc>
          <w:tcPr>
            <w:tcW w:w="1407" w:type="dxa"/>
            <w:gridSpan w:val="2"/>
            <w:vAlign w:val="center"/>
          </w:tcPr>
          <w:p>
            <w:pPr>
              <w:jc w:val="center"/>
              <w:rPr>
                <w:rFonts w:ascii="宋体" w:hAnsi="宋体"/>
              </w:rPr>
            </w:pPr>
          </w:p>
        </w:tc>
        <w:tc>
          <w:tcPr>
            <w:tcW w:w="1272" w:type="dxa"/>
            <w:vAlign w:val="center"/>
          </w:tcPr>
          <w:p>
            <w:pPr>
              <w:jc w:val="center"/>
              <w:rPr>
                <w:rFonts w:ascii="宋体" w:hAnsi="宋体"/>
              </w:rPr>
            </w:pPr>
            <w:r>
              <w:rPr>
                <w:rFonts w:hint="eastAsia" w:ascii="宋体" w:hAnsi="宋体"/>
              </w:rPr>
              <w:t>学历</w:t>
            </w:r>
          </w:p>
        </w:tc>
        <w:tc>
          <w:tcPr>
            <w:tcW w:w="1481"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01" w:type="dxa"/>
            <w:gridSpan w:val="3"/>
            <w:vAlign w:val="center"/>
          </w:tcPr>
          <w:p>
            <w:pPr>
              <w:jc w:val="center"/>
              <w:rPr>
                <w:rFonts w:ascii="宋体" w:hAnsi="宋体"/>
              </w:rPr>
            </w:pPr>
            <w:r>
              <w:rPr>
                <w:rFonts w:hint="eastAsia" w:ascii="宋体" w:hAnsi="宋体"/>
              </w:rPr>
              <w:t>参加工作时间</w:t>
            </w:r>
          </w:p>
        </w:tc>
        <w:tc>
          <w:tcPr>
            <w:tcW w:w="2364" w:type="dxa"/>
            <w:gridSpan w:val="4"/>
            <w:vAlign w:val="center"/>
          </w:tcPr>
          <w:p>
            <w:pPr>
              <w:jc w:val="center"/>
              <w:rPr>
                <w:rFonts w:ascii="宋体" w:hAnsi="宋体"/>
              </w:rPr>
            </w:pPr>
          </w:p>
        </w:tc>
        <w:tc>
          <w:tcPr>
            <w:tcW w:w="2679" w:type="dxa"/>
            <w:gridSpan w:val="3"/>
            <w:vAlign w:val="center"/>
          </w:tcPr>
          <w:p>
            <w:pPr>
              <w:jc w:val="center"/>
              <w:rPr>
                <w:rFonts w:ascii="宋体" w:hAnsi="宋体"/>
              </w:rPr>
            </w:pPr>
            <w:r>
              <w:rPr>
                <w:rFonts w:hint="eastAsia" w:ascii="宋体" w:hAnsi="宋体"/>
              </w:rPr>
              <w:t>担任项目经理年限</w:t>
            </w:r>
          </w:p>
        </w:tc>
        <w:tc>
          <w:tcPr>
            <w:tcW w:w="1481"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725" w:type="dxa"/>
            <w:gridSpan w:val="12"/>
            <w:vAlign w:val="center"/>
          </w:tcPr>
          <w:p>
            <w:pPr>
              <w:jc w:val="center"/>
              <w:rPr>
                <w:rFonts w:ascii="宋体" w:hAnsi="宋体"/>
              </w:rPr>
            </w:pPr>
            <w:r>
              <w:rPr>
                <w:rFonts w:hint="eastAsia" w:ascii="宋体" w:hAnsi="宋体"/>
              </w:rPr>
              <w:t>在建和已完工程项目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1" w:type="dxa"/>
            <w:vAlign w:val="center"/>
          </w:tcPr>
          <w:p>
            <w:pPr>
              <w:jc w:val="center"/>
              <w:rPr>
                <w:rFonts w:ascii="宋体" w:hAnsi="宋体"/>
              </w:rPr>
            </w:pPr>
            <w:r>
              <w:rPr>
                <w:rFonts w:hint="eastAsia" w:ascii="宋体" w:hAnsi="宋体"/>
              </w:rPr>
              <w:t>建设单位</w:t>
            </w:r>
          </w:p>
        </w:tc>
        <w:tc>
          <w:tcPr>
            <w:tcW w:w="1820" w:type="dxa"/>
            <w:gridSpan w:val="3"/>
            <w:vAlign w:val="center"/>
          </w:tcPr>
          <w:p>
            <w:pPr>
              <w:jc w:val="center"/>
              <w:rPr>
                <w:rFonts w:ascii="宋体" w:hAnsi="宋体"/>
              </w:rPr>
            </w:pPr>
            <w:r>
              <w:rPr>
                <w:rFonts w:hint="eastAsia" w:ascii="宋体" w:hAnsi="宋体"/>
              </w:rPr>
              <w:t>项目名称</w:t>
            </w:r>
          </w:p>
        </w:tc>
        <w:tc>
          <w:tcPr>
            <w:tcW w:w="1378" w:type="dxa"/>
            <w:gridSpan w:val="2"/>
            <w:vAlign w:val="center"/>
          </w:tcPr>
          <w:p>
            <w:pPr>
              <w:jc w:val="center"/>
              <w:rPr>
                <w:rFonts w:ascii="宋体" w:hAnsi="宋体"/>
              </w:rPr>
            </w:pPr>
            <w:r>
              <w:rPr>
                <w:rFonts w:hint="eastAsia" w:ascii="宋体" w:hAnsi="宋体"/>
              </w:rPr>
              <w:t>建设规模</w:t>
            </w:r>
          </w:p>
        </w:tc>
        <w:tc>
          <w:tcPr>
            <w:tcW w:w="1443" w:type="dxa"/>
            <w:gridSpan w:val="3"/>
            <w:vAlign w:val="center"/>
          </w:tcPr>
          <w:p>
            <w:pPr>
              <w:jc w:val="center"/>
              <w:rPr>
                <w:rFonts w:ascii="宋体" w:hAnsi="宋体"/>
              </w:rPr>
            </w:pPr>
            <w:r>
              <w:rPr>
                <w:rFonts w:hint="eastAsia" w:ascii="宋体" w:hAnsi="宋体"/>
              </w:rPr>
              <w:t>开、竣工</w:t>
            </w:r>
          </w:p>
          <w:p>
            <w:pPr>
              <w:jc w:val="center"/>
              <w:rPr>
                <w:rFonts w:ascii="宋体" w:hAnsi="宋体"/>
              </w:rPr>
            </w:pPr>
            <w:r>
              <w:rPr>
                <w:rFonts w:hint="eastAsia" w:ascii="宋体" w:hAnsi="宋体"/>
              </w:rPr>
              <w:t>日期</w:t>
            </w:r>
          </w:p>
        </w:tc>
        <w:tc>
          <w:tcPr>
            <w:tcW w:w="1272" w:type="dxa"/>
            <w:vAlign w:val="center"/>
          </w:tcPr>
          <w:p>
            <w:pPr>
              <w:jc w:val="center"/>
              <w:rPr>
                <w:rFonts w:ascii="宋体" w:hAnsi="宋体"/>
              </w:rPr>
            </w:pPr>
            <w:r>
              <w:rPr>
                <w:rFonts w:hint="eastAsia" w:ascii="宋体" w:hAnsi="宋体"/>
              </w:rPr>
              <w:t>在建或</w:t>
            </w:r>
          </w:p>
          <w:p>
            <w:pPr>
              <w:jc w:val="center"/>
              <w:rPr>
                <w:rFonts w:ascii="宋体" w:hAnsi="宋体"/>
              </w:rPr>
            </w:pPr>
            <w:r>
              <w:rPr>
                <w:rFonts w:hint="eastAsia" w:ascii="宋体" w:hAnsi="宋体"/>
              </w:rPr>
              <w:t>已完</w:t>
            </w:r>
          </w:p>
        </w:tc>
        <w:tc>
          <w:tcPr>
            <w:tcW w:w="1481" w:type="dxa"/>
            <w:gridSpan w:val="2"/>
            <w:vAlign w:val="center"/>
          </w:tcPr>
          <w:p>
            <w:pPr>
              <w:jc w:val="center"/>
              <w:rPr>
                <w:rFonts w:ascii="宋体" w:hAnsi="宋体"/>
              </w:rPr>
            </w:pPr>
            <w:r>
              <w:rPr>
                <w:rFonts w:hint="eastAsia" w:ascii="宋体" w:hAnsi="宋体"/>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81"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75" w:type="dxa"/>
            <w:vAlign w:val="center"/>
          </w:tcPr>
          <w:p>
            <w:pPr>
              <w:rPr>
                <w:rFonts w:ascii="宋体" w:hAnsi="宋体"/>
              </w:rPr>
            </w:pPr>
          </w:p>
        </w:tc>
      </w:tr>
    </w:tbl>
    <w:p>
      <w:pPr>
        <w:spacing w:line="500" w:lineRule="exact"/>
        <w:jc w:val="center"/>
        <w:outlineLvl w:val="0"/>
        <w:rPr>
          <w:rFonts w:ascii="宋体" w:hAnsi="宋体"/>
          <w:bCs/>
        </w:rPr>
      </w:pPr>
      <w:r>
        <w:rPr>
          <w:rFonts w:ascii="宋体" w:hAnsi="宋体"/>
        </w:rPr>
        <w:br w:type="page"/>
      </w:r>
      <w:r>
        <w:rPr>
          <w:rFonts w:hint="eastAsia" w:ascii="Times New Roman" w:hAnsi="Times New Roman"/>
          <w:b/>
          <w:bCs/>
          <w:sz w:val="28"/>
          <w:szCs w:val="36"/>
        </w:rPr>
        <w:t>（</w:t>
      </w:r>
      <w:r>
        <w:rPr>
          <w:rFonts w:ascii="Times New Roman" w:hAnsi="Times New Roman"/>
          <w:b/>
          <w:bCs/>
          <w:sz w:val="28"/>
          <w:szCs w:val="36"/>
        </w:rPr>
        <w:t>3</w:t>
      </w:r>
      <w:r>
        <w:rPr>
          <w:rFonts w:hint="eastAsia" w:ascii="Times New Roman" w:hAnsi="Times New Roman"/>
          <w:b/>
          <w:bCs/>
          <w:sz w:val="28"/>
          <w:szCs w:val="36"/>
        </w:rPr>
        <w:t>）项目技术负责人简历表</w:t>
      </w:r>
    </w:p>
    <w:p>
      <w:pPr>
        <w:spacing w:line="500" w:lineRule="exact"/>
        <w:ind w:firstLine="210" w:firstLineChars="100"/>
        <w:jc w:val="left"/>
        <w:outlineLvl w:val="0"/>
        <w:rPr>
          <w:rFonts w:ascii="宋体" w:hAnsi="宋体"/>
        </w:rPr>
      </w:pPr>
      <w:r>
        <w:rPr>
          <w:rFonts w:hint="eastAsia" w:ascii="宋体" w:hAnsi="宋体"/>
          <w:u w:val="single"/>
        </w:rPr>
        <w:t>（项目名称）</w:t>
      </w:r>
      <w:r>
        <w:rPr>
          <w:rFonts w:hint="eastAsia" w:ascii="宋体" w:hAnsi="宋体"/>
        </w:rPr>
        <w:t>工程</w:t>
      </w:r>
    </w:p>
    <w:tbl>
      <w:tblPr>
        <w:tblStyle w:val="26"/>
        <w:tblW w:w="8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0"/>
        <w:gridCol w:w="860"/>
        <w:gridCol w:w="950"/>
        <w:gridCol w:w="42"/>
        <w:gridCol w:w="1336"/>
        <w:gridCol w:w="36"/>
        <w:gridCol w:w="1397"/>
        <w:gridCol w:w="10"/>
        <w:gridCol w:w="1272"/>
        <w:gridCol w:w="6"/>
        <w:gridCol w:w="1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331" w:type="dxa"/>
            <w:vAlign w:val="center"/>
          </w:tcPr>
          <w:p>
            <w:pPr>
              <w:jc w:val="center"/>
              <w:rPr>
                <w:rFonts w:ascii="宋体" w:hAnsi="宋体"/>
              </w:rPr>
            </w:pPr>
            <w:r>
              <w:rPr>
                <w:rFonts w:hint="eastAsia" w:ascii="宋体" w:hAnsi="宋体"/>
              </w:rPr>
              <w:t>姓名</w:t>
            </w:r>
          </w:p>
        </w:tc>
        <w:tc>
          <w:tcPr>
            <w:tcW w:w="1862" w:type="dxa"/>
            <w:gridSpan w:val="4"/>
            <w:vAlign w:val="center"/>
          </w:tcPr>
          <w:p>
            <w:pPr>
              <w:jc w:val="center"/>
              <w:rPr>
                <w:rFonts w:ascii="宋体" w:hAnsi="宋体"/>
              </w:rPr>
            </w:pPr>
          </w:p>
        </w:tc>
        <w:tc>
          <w:tcPr>
            <w:tcW w:w="1372" w:type="dxa"/>
            <w:gridSpan w:val="2"/>
            <w:vAlign w:val="center"/>
          </w:tcPr>
          <w:p>
            <w:pPr>
              <w:jc w:val="center"/>
              <w:rPr>
                <w:rFonts w:ascii="宋体" w:hAnsi="宋体"/>
              </w:rPr>
            </w:pPr>
            <w:r>
              <w:rPr>
                <w:rFonts w:hint="eastAsia" w:ascii="宋体" w:hAnsi="宋体"/>
              </w:rPr>
              <w:t>性别</w:t>
            </w:r>
          </w:p>
        </w:tc>
        <w:tc>
          <w:tcPr>
            <w:tcW w:w="1407" w:type="dxa"/>
            <w:gridSpan w:val="2"/>
            <w:vAlign w:val="center"/>
          </w:tcPr>
          <w:p>
            <w:pPr>
              <w:jc w:val="center"/>
              <w:rPr>
                <w:rFonts w:ascii="宋体" w:hAnsi="宋体"/>
              </w:rPr>
            </w:pPr>
          </w:p>
        </w:tc>
        <w:tc>
          <w:tcPr>
            <w:tcW w:w="1272" w:type="dxa"/>
            <w:vAlign w:val="center"/>
          </w:tcPr>
          <w:p>
            <w:pPr>
              <w:jc w:val="center"/>
              <w:rPr>
                <w:rFonts w:ascii="宋体" w:hAnsi="宋体"/>
              </w:rPr>
            </w:pPr>
            <w:r>
              <w:rPr>
                <w:rFonts w:hint="eastAsia" w:ascii="宋体" w:hAnsi="宋体"/>
              </w:rPr>
              <w:t>年龄</w:t>
            </w:r>
          </w:p>
        </w:tc>
        <w:tc>
          <w:tcPr>
            <w:tcW w:w="1470"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331" w:type="dxa"/>
            <w:vAlign w:val="center"/>
          </w:tcPr>
          <w:p>
            <w:pPr>
              <w:jc w:val="center"/>
              <w:rPr>
                <w:rFonts w:ascii="宋体" w:hAnsi="宋体"/>
              </w:rPr>
            </w:pPr>
            <w:r>
              <w:rPr>
                <w:rFonts w:hint="eastAsia" w:ascii="宋体" w:hAnsi="宋体"/>
              </w:rPr>
              <w:t>职务</w:t>
            </w:r>
          </w:p>
        </w:tc>
        <w:tc>
          <w:tcPr>
            <w:tcW w:w="1862" w:type="dxa"/>
            <w:gridSpan w:val="4"/>
            <w:vAlign w:val="center"/>
          </w:tcPr>
          <w:p>
            <w:pPr>
              <w:jc w:val="center"/>
              <w:rPr>
                <w:rFonts w:ascii="宋体" w:hAnsi="宋体"/>
              </w:rPr>
            </w:pPr>
          </w:p>
        </w:tc>
        <w:tc>
          <w:tcPr>
            <w:tcW w:w="1372" w:type="dxa"/>
            <w:gridSpan w:val="2"/>
            <w:vAlign w:val="center"/>
          </w:tcPr>
          <w:p>
            <w:pPr>
              <w:jc w:val="center"/>
              <w:rPr>
                <w:rFonts w:ascii="宋体" w:hAnsi="宋体"/>
              </w:rPr>
            </w:pPr>
            <w:r>
              <w:rPr>
                <w:rFonts w:hint="eastAsia" w:ascii="宋体" w:hAnsi="宋体"/>
              </w:rPr>
              <w:t>职称</w:t>
            </w:r>
          </w:p>
        </w:tc>
        <w:tc>
          <w:tcPr>
            <w:tcW w:w="1407" w:type="dxa"/>
            <w:gridSpan w:val="2"/>
            <w:vAlign w:val="center"/>
          </w:tcPr>
          <w:p>
            <w:pPr>
              <w:jc w:val="center"/>
              <w:rPr>
                <w:rFonts w:ascii="宋体" w:hAnsi="宋体"/>
              </w:rPr>
            </w:pPr>
          </w:p>
        </w:tc>
        <w:tc>
          <w:tcPr>
            <w:tcW w:w="1272" w:type="dxa"/>
            <w:vAlign w:val="center"/>
          </w:tcPr>
          <w:p>
            <w:pPr>
              <w:jc w:val="center"/>
              <w:rPr>
                <w:rFonts w:ascii="宋体" w:hAnsi="宋体"/>
              </w:rPr>
            </w:pPr>
            <w:r>
              <w:rPr>
                <w:rFonts w:hint="eastAsia" w:ascii="宋体" w:hAnsi="宋体"/>
              </w:rPr>
              <w:t>学历</w:t>
            </w:r>
          </w:p>
        </w:tc>
        <w:tc>
          <w:tcPr>
            <w:tcW w:w="1470"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01" w:type="dxa"/>
            <w:gridSpan w:val="3"/>
            <w:vAlign w:val="center"/>
          </w:tcPr>
          <w:p>
            <w:pPr>
              <w:jc w:val="center"/>
              <w:rPr>
                <w:rFonts w:ascii="宋体" w:hAnsi="宋体"/>
              </w:rPr>
            </w:pPr>
            <w:r>
              <w:rPr>
                <w:rFonts w:hint="eastAsia" w:ascii="宋体" w:hAnsi="宋体"/>
              </w:rPr>
              <w:t>参加工作时间</w:t>
            </w:r>
          </w:p>
        </w:tc>
        <w:tc>
          <w:tcPr>
            <w:tcW w:w="2364" w:type="dxa"/>
            <w:gridSpan w:val="4"/>
            <w:vAlign w:val="center"/>
          </w:tcPr>
          <w:p>
            <w:pPr>
              <w:jc w:val="center"/>
              <w:rPr>
                <w:rFonts w:ascii="宋体" w:hAnsi="宋体"/>
              </w:rPr>
            </w:pPr>
          </w:p>
        </w:tc>
        <w:tc>
          <w:tcPr>
            <w:tcW w:w="2679" w:type="dxa"/>
            <w:gridSpan w:val="3"/>
            <w:vAlign w:val="center"/>
          </w:tcPr>
          <w:p>
            <w:pPr>
              <w:jc w:val="center"/>
              <w:rPr>
                <w:rFonts w:ascii="宋体" w:hAnsi="宋体"/>
              </w:rPr>
            </w:pPr>
            <w:r>
              <w:rPr>
                <w:rFonts w:hint="eastAsia" w:ascii="宋体" w:hAnsi="宋体"/>
              </w:rPr>
              <w:t>担任技术负责人年限</w:t>
            </w:r>
          </w:p>
        </w:tc>
        <w:tc>
          <w:tcPr>
            <w:tcW w:w="1470" w:type="dxa"/>
            <w:gridSpan w:val="2"/>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8714" w:type="dxa"/>
            <w:gridSpan w:val="12"/>
            <w:vAlign w:val="center"/>
          </w:tcPr>
          <w:p>
            <w:pPr>
              <w:jc w:val="center"/>
              <w:rPr>
                <w:rFonts w:ascii="宋体" w:hAnsi="宋体"/>
              </w:rPr>
            </w:pPr>
            <w:r>
              <w:rPr>
                <w:rFonts w:hint="eastAsia" w:ascii="宋体" w:hAnsi="宋体"/>
              </w:rPr>
              <w:t>在建和已完工程项目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31" w:type="dxa"/>
            <w:vAlign w:val="center"/>
          </w:tcPr>
          <w:p>
            <w:pPr>
              <w:jc w:val="center"/>
              <w:rPr>
                <w:rFonts w:ascii="宋体" w:hAnsi="宋体"/>
              </w:rPr>
            </w:pPr>
            <w:r>
              <w:rPr>
                <w:rFonts w:hint="eastAsia" w:ascii="宋体" w:hAnsi="宋体"/>
              </w:rPr>
              <w:t>建设单位</w:t>
            </w:r>
          </w:p>
        </w:tc>
        <w:tc>
          <w:tcPr>
            <w:tcW w:w="1820" w:type="dxa"/>
            <w:gridSpan w:val="3"/>
            <w:vAlign w:val="center"/>
          </w:tcPr>
          <w:p>
            <w:pPr>
              <w:jc w:val="center"/>
              <w:rPr>
                <w:rFonts w:ascii="宋体" w:hAnsi="宋体"/>
              </w:rPr>
            </w:pPr>
            <w:r>
              <w:rPr>
                <w:rFonts w:hint="eastAsia" w:ascii="宋体" w:hAnsi="宋体"/>
              </w:rPr>
              <w:t>项目名称</w:t>
            </w:r>
          </w:p>
        </w:tc>
        <w:tc>
          <w:tcPr>
            <w:tcW w:w="1378" w:type="dxa"/>
            <w:gridSpan w:val="2"/>
            <w:vAlign w:val="center"/>
          </w:tcPr>
          <w:p>
            <w:pPr>
              <w:jc w:val="center"/>
              <w:rPr>
                <w:rFonts w:ascii="宋体" w:hAnsi="宋体"/>
              </w:rPr>
            </w:pPr>
            <w:r>
              <w:rPr>
                <w:rFonts w:hint="eastAsia" w:ascii="宋体" w:hAnsi="宋体"/>
              </w:rPr>
              <w:t>建设规模</w:t>
            </w:r>
          </w:p>
        </w:tc>
        <w:tc>
          <w:tcPr>
            <w:tcW w:w="1443" w:type="dxa"/>
            <w:gridSpan w:val="3"/>
            <w:vAlign w:val="center"/>
          </w:tcPr>
          <w:p>
            <w:pPr>
              <w:jc w:val="center"/>
              <w:rPr>
                <w:rFonts w:ascii="宋体" w:hAnsi="宋体"/>
              </w:rPr>
            </w:pPr>
            <w:r>
              <w:rPr>
                <w:rFonts w:hint="eastAsia" w:ascii="宋体" w:hAnsi="宋体"/>
              </w:rPr>
              <w:t>开、竣工</w:t>
            </w:r>
          </w:p>
          <w:p>
            <w:pPr>
              <w:jc w:val="center"/>
              <w:rPr>
                <w:rFonts w:ascii="宋体" w:hAnsi="宋体"/>
              </w:rPr>
            </w:pPr>
            <w:r>
              <w:rPr>
                <w:rFonts w:hint="eastAsia" w:ascii="宋体" w:hAnsi="宋体"/>
              </w:rPr>
              <w:t>日期</w:t>
            </w:r>
          </w:p>
        </w:tc>
        <w:tc>
          <w:tcPr>
            <w:tcW w:w="1272" w:type="dxa"/>
            <w:vAlign w:val="center"/>
          </w:tcPr>
          <w:p>
            <w:pPr>
              <w:jc w:val="center"/>
              <w:rPr>
                <w:rFonts w:ascii="宋体" w:hAnsi="宋体"/>
              </w:rPr>
            </w:pPr>
            <w:r>
              <w:rPr>
                <w:rFonts w:hint="eastAsia" w:ascii="宋体" w:hAnsi="宋体"/>
              </w:rPr>
              <w:t>在建或</w:t>
            </w:r>
          </w:p>
          <w:p>
            <w:pPr>
              <w:jc w:val="center"/>
              <w:rPr>
                <w:rFonts w:ascii="宋体" w:hAnsi="宋体"/>
              </w:rPr>
            </w:pPr>
            <w:r>
              <w:rPr>
                <w:rFonts w:hint="eastAsia" w:ascii="宋体" w:hAnsi="宋体"/>
              </w:rPr>
              <w:t>已完</w:t>
            </w:r>
          </w:p>
        </w:tc>
        <w:tc>
          <w:tcPr>
            <w:tcW w:w="1470" w:type="dxa"/>
            <w:gridSpan w:val="2"/>
            <w:vAlign w:val="center"/>
          </w:tcPr>
          <w:p>
            <w:pPr>
              <w:jc w:val="center"/>
              <w:rPr>
                <w:rFonts w:ascii="宋体" w:hAnsi="宋体"/>
              </w:rPr>
            </w:pPr>
            <w:r>
              <w:rPr>
                <w:rFonts w:hint="eastAsia" w:ascii="宋体" w:hAnsi="宋体"/>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1" w:type="dxa"/>
            <w:vAlign w:val="center"/>
          </w:tcPr>
          <w:p>
            <w:pPr>
              <w:rPr>
                <w:rFonts w:ascii="宋体" w:hAnsi="宋体"/>
              </w:rPr>
            </w:pPr>
          </w:p>
        </w:tc>
        <w:tc>
          <w:tcPr>
            <w:tcW w:w="1820" w:type="dxa"/>
            <w:gridSpan w:val="3"/>
            <w:vAlign w:val="center"/>
          </w:tcPr>
          <w:p>
            <w:pPr>
              <w:rPr>
                <w:rFonts w:ascii="宋体" w:hAnsi="宋体"/>
              </w:rPr>
            </w:pPr>
          </w:p>
        </w:tc>
        <w:tc>
          <w:tcPr>
            <w:tcW w:w="1378" w:type="dxa"/>
            <w:gridSpan w:val="2"/>
            <w:vAlign w:val="center"/>
          </w:tcPr>
          <w:p>
            <w:pPr>
              <w:rPr>
                <w:rFonts w:ascii="宋体" w:hAnsi="宋体"/>
              </w:rPr>
            </w:pPr>
          </w:p>
        </w:tc>
        <w:tc>
          <w:tcPr>
            <w:tcW w:w="1443" w:type="dxa"/>
            <w:gridSpan w:val="3"/>
            <w:vAlign w:val="center"/>
          </w:tcPr>
          <w:p>
            <w:pPr>
              <w:rPr>
                <w:rFonts w:ascii="宋体" w:hAnsi="宋体"/>
              </w:rPr>
            </w:pPr>
          </w:p>
        </w:tc>
        <w:tc>
          <w:tcPr>
            <w:tcW w:w="1272" w:type="dxa"/>
            <w:vAlign w:val="center"/>
          </w:tcPr>
          <w:p>
            <w:pPr>
              <w:rPr>
                <w:rFonts w:ascii="宋体" w:hAnsi="宋体"/>
              </w:rPr>
            </w:pPr>
          </w:p>
        </w:tc>
        <w:tc>
          <w:tcPr>
            <w:tcW w:w="1470" w:type="dxa"/>
            <w:gridSpan w:val="2"/>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41" w:type="dxa"/>
            <w:gridSpan w:val="2"/>
            <w:vAlign w:val="center"/>
          </w:tcPr>
          <w:p>
            <w:pPr>
              <w:rPr>
                <w:rFonts w:ascii="宋体" w:hAnsi="宋体"/>
              </w:rPr>
            </w:pPr>
          </w:p>
        </w:tc>
        <w:tc>
          <w:tcPr>
            <w:tcW w:w="1810" w:type="dxa"/>
            <w:gridSpan w:val="2"/>
            <w:vAlign w:val="center"/>
          </w:tcPr>
          <w:p>
            <w:pPr>
              <w:rPr>
                <w:rFonts w:ascii="宋体" w:hAnsi="宋体"/>
              </w:rPr>
            </w:pPr>
          </w:p>
        </w:tc>
        <w:tc>
          <w:tcPr>
            <w:tcW w:w="1378" w:type="dxa"/>
            <w:gridSpan w:val="2"/>
            <w:vAlign w:val="center"/>
          </w:tcPr>
          <w:p>
            <w:pPr>
              <w:rPr>
                <w:rFonts w:ascii="宋体" w:hAnsi="宋体"/>
              </w:rPr>
            </w:pPr>
          </w:p>
        </w:tc>
        <w:tc>
          <w:tcPr>
            <w:tcW w:w="1433" w:type="dxa"/>
            <w:gridSpan w:val="2"/>
            <w:vAlign w:val="center"/>
          </w:tcPr>
          <w:p>
            <w:pPr>
              <w:rPr>
                <w:rFonts w:ascii="宋体" w:hAnsi="宋体"/>
              </w:rPr>
            </w:pPr>
          </w:p>
        </w:tc>
        <w:tc>
          <w:tcPr>
            <w:tcW w:w="1288" w:type="dxa"/>
            <w:gridSpan w:val="3"/>
            <w:vAlign w:val="center"/>
          </w:tcPr>
          <w:p>
            <w:pPr>
              <w:rPr>
                <w:rFonts w:ascii="宋体" w:hAnsi="宋体"/>
              </w:rPr>
            </w:pPr>
          </w:p>
        </w:tc>
        <w:tc>
          <w:tcPr>
            <w:tcW w:w="1464" w:type="dxa"/>
            <w:vAlign w:val="center"/>
          </w:tcPr>
          <w:p>
            <w:pPr>
              <w:rPr>
                <w:rFonts w:ascii="宋体" w:hAnsi="宋体"/>
              </w:rPr>
            </w:pPr>
          </w:p>
        </w:tc>
      </w:tr>
    </w:tbl>
    <w:p>
      <w:pPr>
        <w:spacing w:line="360" w:lineRule="auto"/>
        <w:rPr>
          <w:rFonts w:ascii="宋体" w:hAnsi="宋体"/>
          <w:b/>
          <w:bCs/>
        </w:rPr>
      </w:pPr>
    </w:p>
    <w:p>
      <w:pPr>
        <w:spacing w:line="360" w:lineRule="auto"/>
        <w:rPr>
          <w:rFonts w:ascii="宋体" w:hAnsi="宋体"/>
          <w:b/>
          <w:bCs/>
        </w:rPr>
      </w:pPr>
    </w:p>
    <w:p>
      <w:pPr>
        <w:spacing w:line="360" w:lineRule="auto"/>
        <w:rPr>
          <w:rFonts w:ascii="宋体" w:hAnsi="宋体"/>
          <w:b/>
          <w:bCs/>
        </w:rPr>
      </w:pPr>
    </w:p>
    <w:p>
      <w:pPr>
        <w:spacing w:line="360" w:lineRule="auto"/>
        <w:rPr>
          <w:rFonts w:ascii="宋体" w:hAnsi="宋体"/>
          <w:b/>
          <w:bCs/>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p>
    <w:p>
      <w:pPr>
        <w:spacing w:line="500" w:lineRule="exact"/>
        <w:jc w:val="center"/>
        <w:outlineLvl w:val="0"/>
        <w:rPr>
          <w:rFonts w:ascii="Times New Roman" w:hAnsi="Times New Roman"/>
          <w:b/>
          <w:bCs/>
          <w:sz w:val="28"/>
          <w:szCs w:val="36"/>
        </w:rPr>
      </w:pPr>
      <w:r>
        <w:rPr>
          <w:rFonts w:hint="eastAsia" w:ascii="Times New Roman" w:hAnsi="Times New Roman"/>
          <w:b/>
          <w:bCs/>
          <w:sz w:val="28"/>
          <w:szCs w:val="36"/>
        </w:rPr>
        <w:t>（</w:t>
      </w:r>
      <w:r>
        <w:rPr>
          <w:rFonts w:ascii="Times New Roman" w:hAnsi="Times New Roman"/>
          <w:b/>
          <w:bCs/>
          <w:sz w:val="28"/>
          <w:szCs w:val="36"/>
        </w:rPr>
        <w:t>4</w:t>
      </w:r>
      <w:r>
        <w:rPr>
          <w:rFonts w:hint="eastAsia" w:ascii="Times New Roman" w:hAnsi="Times New Roman"/>
          <w:b/>
          <w:bCs/>
          <w:sz w:val="28"/>
          <w:szCs w:val="36"/>
        </w:rPr>
        <w:t>）项目管理机构配备情况辅助说明资料</w:t>
      </w:r>
    </w:p>
    <w:p>
      <w:pPr>
        <w:spacing w:line="360" w:lineRule="auto"/>
        <w:ind w:firstLine="420" w:firstLineChars="200"/>
        <w:rPr>
          <w:rFonts w:ascii="宋体" w:hAnsi="宋体"/>
        </w:rPr>
      </w:pPr>
      <w:r>
        <w:rPr>
          <w:rFonts w:hint="eastAsia" w:ascii="宋体" w:hAnsi="宋体"/>
          <w:u w:val="single"/>
        </w:rPr>
        <w:t>（工程项目名称）</w:t>
      </w:r>
      <w:r>
        <w:rPr>
          <w:rFonts w:hint="eastAsia" w:ascii="宋体" w:hAnsi="宋体"/>
        </w:rPr>
        <w:t>工程</w:t>
      </w:r>
    </w:p>
    <w:tbl>
      <w:tblPr>
        <w:tblStyle w:val="26"/>
        <w:tblW w:w="8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1" w:hRule="atLeast"/>
          <w:jc w:val="center"/>
        </w:trPr>
        <w:tc>
          <w:tcPr>
            <w:tcW w:w="8714" w:type="dxa"/>
          </w:tcPr>
          <w:p>
            <w:pPr>
              <w:rPr>
                <w:rFonts w:ascii="宋体" w:hAnsi="宋体"/>
              </w:rPr>
            </w:pPr>
          </w:p>
        </w:tc>
      </w:tr>
    </w:tbl>
    <w:p>
      <w:pPr>
        <w:spacing w:line="360" w:lineRule="auto"/>
        <w:ind w:left="168" w:leftChars="80"/>
        <w:rPr>
          <w:rFonts w:ascii="宋体" w:hAnsi="宋体"/>
        </w:rPr>
      </w:pPr>
    </w:p>
    <w:p>
      <w:pPr>
        <w:spacing w:line="360" w:lineRule="auto"/>
        <w:ind w:left="168" w:leftChars="80"/>
        <w:rPr>
          <w:rFonts w:ascii="宋体" w:hAnsi="宋体"/>
        </w:rPr>
      </w:pPr>
      <w:r>
        <w:rPr>
          <w:rFonts w:hint="eastAsia" w:ascii="宋体" w:hAnsi="宋体"/>
        </w:rPr>
        <w:t>注：</w:t>
      </w:r>
      <w:r>
        <w:rPr>
          <w:rFonts w:ascii="宋体" w:hAnsi="宋体"/>
        </w:rPr>
        <w:t>1</w:t>
      </w:r>
      <w:r>
        <w:rPr>
          <w:rFonts w:hint="eastAsia" w:ascii="宋体" w:hAnsi="宋体"/>
        </w:rPr>
        <w:t>、辅助说明资料主要包括管理机构的机构析机构设置、职责分工、有关复印证明资料以及供应商认为有必要提供的资料。辅助说明资料格式不做统一规定，由供应商自行设计。</w:t>
      </w:r>
    </w:p>
    <w:p>
      <w:pPr>
        <w:numPr>
          <w:ilvl w:val="0"/>
          <w:numId w:val="5"/>
        </w:numPr>
        <w:spacing w:line="360" w:lineRule="auto"/>
        <w:ind w:firstLine="525" w:firstLineChars="250"/>
        <w:rPr>
          <w:rFonts w:ascii="宋体" w:hAnsi="宋体"/>
        </w:rPr>
      </w:pPr>
      <w:r>
        <w:rPr>
          <w:rFonts w:hint="eastAsia" w:ascii="宋体" w:hAnsi="宋体"/>
        </w:rPr>
        <w:t>项目管理班子配备情况辅助说明资料可另附（与本响应文件一起装订）。</w:t>
      </w: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360" w:lineRule="auto"/>
        <w:rPr>
          <w:rFonts w:ascii="宋体" w:hAnsi="宋体"/>
        </w:rPr>
      </w:pPr>
    </w:p>
    <w:p>
      <w:pPr>
        <w:spacing w:line="500" w:lineRule="exact"/>
        <w:outlineLvl w:val="0"/>
        <w:rPr>
          <w:rFonts w:ascii="Times New Roman" w:hAnsi="Times New Roman"/>
          <w:b/>
          <w:bCs/>
          <w:sz w:val="32"/>
          <w:szCs w:val="36"/>
        </w:rPr>
      </w:pPr>
    </w:p>
    <w:p>
      <w:pPr>
        <w:spacing w:line="500" w:lineRule="exact"/>
        <w:jc w:val="center"/>
        <w:outlineLvl w:val="0"/>
        <w:rPr>
          <w:rFonts w:ascii="Times New Roman" w:hAnsi="Times New Roman"/>
          <w:b/>
          <w:bCs/>
          <w:sz w:val="32"/>
          <w:szCs w:val="36"/>
        </w:rPr>
      </w:pPr>
      <w:r>
        <w:rPr>
          <w:rFonts w:hint="eastAsia" w:ascii="Times New Roman" w:hAnsi="Times New Roman"/>
          <w:b/>
          <w:bCs/>
          <w:sz w:val="32"/>
          <w:szCs w:val="36"/>
        </w:rPr>
        <w:t>六、资格证明文件</w:t>
      </w:r>
    </w:p>
    <w:p>
      <w:pPr>
        <w:pStyle w:val="12"/>
        <w:spacing w:line="440" w:lineRule="exact"/>
        <w:rPr>
          <w:rFonts w:hAnsi="宋体" w:cs="宋体"/>
          <w:szCs w:val="21"/>
        </w:rPr>
      </w:pPr>
    </w:p>
    <w:p>
      <w:pPr>
        <w:pStyle w:val="12"/>
        <w:spacing w:line="440" w:lineRule="exact"/>
        <w:rPr>
          <w:rFonts w:hAnsi="宋体" w:cs="宋体"/>
        </w:rPr>
      </w:pPr>
      <w:r>
        <w:rPr>
          <w:rFonts w:hAnsi="宋体" w:cs="宋体"/>
        </w:rPr>
        <w:t>1、供应商应具备《政府采购法》第二十二条规定的条件提供以下材料：</w:t>
      </w:r>
    </w:p>
    <w:p>
      <w:pPr>
        <w:pStyle w:val="12"/>
        <w:spacing w:line="440" w:lineRule="exact"/>
        <w:rPr>
          <w:rFonts w:hAnsi="宋体" w:cs="宋体"/>
        </w:rPr>
      </w:pPr>
      <w:r>
        <w:rPr>
          <w:rFonts w:hAnsi="宋体" w:cs="宋体"/>
        </w:rPr>
        <w:t>1.1、法人或者其他组织的营业执照等证明文件</w:t>
      </w:r>
      <w:r>
        <w:rPr>
          <w:rFonts w:hint="eastAsia" w:hAnsi="宋体" w:cs="宋体"/>
        </w:rPr>
        <w:t>；</w:t>
      </w:r>
    </w:p>
    <w:p>
      <w:pPr>
        <w:pStyle w:val="12"/>
        <w:spacing w:line="440" w:lineRule="exact"/>
        <w:rPr>
          <w:rFonts w:hAnsi="宋体" w:cs="宋体"/>
        </w:rPr>
      </w:pPr>
      <w:r>
        <w:rPr>
          <w:rFonts w:hAnsi="宋体" w:cs="宋体"/>
        </w:rPr>
        <w:t>1.2、</w:t>
      </w:r>
      <w:r>
        <w:rPr>
          <w:rFonts w:hint="eastAsia"/>
          <w:szCs w:val="21"/>
        </w:rPr>
        <w:t>具有良好的商业信誉和健全的财务会计制度(提供2019年和2020年财务审计报告)；</w:t>
      </w:r>
    </w:p>
    <w:p>
      <w:pPr>
        <w:pStyle w:val="12"/>
        <w:spacing w:line="440" w:lineRule="exact"/>
        <w:rPr>
          <w:rFonts w:hAnsi="宋体" w:cs="宋体"/>
        </w:rPr>
      </w:pPr>
      <w:r>
        <w:rPr>
          <w:rFonts w:hAnsi="宋体" w:cs="宋体"/>
        </w:rPr>
        <w:t>1.3、类似业绩（或供应商相应资质）或相应设备的购置发票、人员职称等履行合同所必需的设备和专业技术能力的证明材料；</w:t>
      </w:r>
    </w:p>
    <w:p>
      <w:pPr>
        <w:pStyle w:val="12"/>
        <w:spacing w:line="440" w:lineRule="exact"/>
        <w:rPr>
          <w:rFonts w:hAnsi="宋体" w:cs="宋体"/>
        </w:rPr>
      </w:pPr>
      <w:r>
        <w:rPr>
          <w:rFonts w:hAnsi="宋体" w:cs="宋体"/>
        </w:rPr>
        <w:t>1.4、依法缴纳税收（未达到纳税标准的，提供书面声明材料）和社会保障资金的相关材料；</w:t>
      </w:r>
    </w:p>
    <w:p>
      <w:pPr>
        <w:pStyle w:val="12"/>
        <w:spacing w:line="440" w:lineRule="exact"/>
        <w:rPr>
          <w:rFonts w:hAnsi="宋体" w:cs="宋体"/>
        </w:rPr>
      </w:pPr>
      <w:r>
        <w:rPr>
          <w:rFonts w:hAnsi="宋体" w:cs="宋体"/>
        </w:rPr>
        <w:t>1.5、近三年内（不足三年按公司成立时起算），在经营活动中没有重大违法记录的书面声明；</w:t>
      </w:r>
    </w:p>
    <w:p>
      <w:pPr>
        <w:pStyle w:val="12"/>
        <w:spacing w:line="440" w:lineRule="exact"/>
        <w:rPr>
          <w:rFonts w:hAnsi="宋体" w:cs="宋体"/>
        </w:rPr>
      </w:pPr>
      <w:r>
        <w:rPr>
          <w:rFonts w:hAnsi="宋体" w:cs="宋体"/>
        </w:rPr>
        <w:t>1.6、具备法律、行政法规规定的其他条件的证明材料（如有）。</w:t>
      </w:r>
    </w:p>
    <w:p>
      <w:pPr>
        <w:pStyle w:val="12"/>
        <w:spacing w:line="440" w:lineRule="exact"/>
        <w:rPr>
          <w:rFonts w:hAnsi="宋体" w:cs="宋体"/>
        </w:rPr>
      </w:pPr>
      <w:r>
        <w:rPr>
          <w:rFonts w:hint="eastAsia" w:hAnsi="宋体" w:cs="宋体"/>
        </w:rPr>
        <w:t>2</w:t>
      </w:r>
      <w:r>
        <w:rPr>
          <w:rFonts w:hint="eastAsia" w:hAnsi="宋体" w:cs="宋体"/>
          <w:color w:val="4F81BD" w:themeColor="accent1"/>
          <w14:textFill>
            <w14:solidFill>
              <w14:schemeClr w14:val="accent1"/>
            </w14:solidFill>
          </w14:textFill>
        </w:rPr>
        <w:t>、</w:t>
      </w:r>
      <w:r>
        <w:rPr>
          <w:rFonts w:hint="eastAsia" w:hAnsi="宋体" w:cs="宋体"/>
        </w:rPr>
        <w:t>供应商具备</w:t>
      </w:r>
      <w:r>
        <w:rPr>
          <w:rFonts w:hint="eastAsia" w:hAnsi="宋体" w:cs="宋体"/>
          <w:lang w:eastAsia="zh-CN"/>
        </w:rPr>
        <w:t>建筑装修装饰工程专业承包贰级</w:t>
      </w:r>
      <w:r>
        <w:rPr>
          <w:rFonts w:hint="eastAsia" w:hAnsi="宋体" w:cs="宋体"/>
        </w:rPr>
        <w:t>及以上资质，并具备建设主管部门颁发的合格有效的安全生产许可证。</w:t>
      </w:r>
    </w:p>
    <w:p>
      <w:pPr>
        <w:pStyle w:val="12"/>
        <w:spacing w:line="440" w:lineRule="exact"/>
        <w:rPr>
          <w:rFonts w:hAnsi="宋体" w:cs="宋体"/>
        </w:rPr>
      </w:pPr>
      <w:r>
        <w:rPr>
          <w:rFonts w:hint="eastAsia" w:hAnsi="宋体" w:cs="宋体"/>
        </w:rPr>
        <w:t>3、拟选派项目经理具有建筑工程专业贰级及以上注册建造师证书、</w:t>
      </w:r>
      <w:r>
        <w:rPr>
          <w:rFonts w:hAnsi="宋体" w:cs="宋体"/>
        </w:rPr>
        <w:t>B</w:t>
      </w:r>
      <w:r>
        <w:rPr>
          <w:rFonts w:hint="eastAsia" w:hAnsi="宋体" w:cs="宋体"/>
        </w:rPr>
        <w:t>类安全生产考核合格证书，且提供项目经理无在建项目的承诺函。拟派项目组成员的社保、职称证书和资格证书。</w:t>
      </w:r>
    </w:p>
    <w:p>
      <w:pPr>
        <w:pStyle w:val="12"/>
        <w:spacing w:line="440" w:lineRule="exact"/>
        <w:rPr>
          <w:rFonts w:hAnsi="宋体" w:cs="宋体"/>
        </w:rPr>
      </w:pPr>
      <w:r>
        <w:rPr>
          <w:rFonts w:hint="eastAsia" w:hAnsi="宋体" w:cs="宋体"/>
        </w:rPr>
        <w:t>4、未被列入“信用中国”网站(www.creditchina.gov.cn)失信被执行人、重大税收违法案件当事人、政府采购严重违法失信行为记录名单的网站截图。</w:t>
      </w:r>
    </w:p>
    <w:p>
      <w:pPr>
        <w:pStyle w:val="12"/>
        <w:spacing w:line="440" w:lineRule="exact"/>
        <w:rPr>
          <w:rFonts w:hAnsi="宋体" w:cs="宋体"/>
        </w:rPr>
      </w:pPr>
      <w:r>
        <w:rPr>
          <w:rFonts w:hint="eastAsia" w:hAnsi="宋体" w:cs="宋体"/>
        </w:rPr>
        <w:t>5、未被列入“中国政府采购”网站（www.ccgp.gov.cn）政府采购严重违法失信行为记录名单的网站截图。</w:t>
      </w:r>
    </w:p>
    <w:p>
      <w:pPr>
        <w:pStyle w:val="12"/>
        <w:spacing w:line="440" w:lineRule="exact"/>
        <w:rPr>
          <w:rFonts w:hAnsi="宋体" w:cs="宋体"/>
        </w:rPr>
      </w:pPr>
      <w:r>
        <w:rPr>
          <w:rFonts w:hint="eastAsia" w:hAnsi="宋体" w:cs="宋体"/>
        </w:rPr>
        <w:t>6、非</w:t>
      </w:r>
      <w:r>
        <w:rPr>
          <w:rFonts w:hAnsi="宋体" w:cs="宋体"/>
        </w:rPr>
        <w:t>联合体</w:t>
      </w:r>
      <w:r>
        <w:rPr>
          <w:rFonts w:hint="eastAsia" w:hAnsi="宋体" w:cs="宋体"/>
        </w:rPr>
        <w:t>、</w:t>
      </w:r>
      <w:r>
        <w:rPr>
          <w:rFonts w:hAnsi="宋体" w:cs="宋体"/>
        </w:rPr>
        <w:t>不转包或分包</w:t>
      </w:r>
      <w:r>
        <w:rPr>
          <w:rFonts w:hint="eastAsia" w:hAnsi="宋体" w:cs="宋体"/>
        </w:rPr>
        <w:t>的承诺</w:t>
      </w:r>
      <w:r>
        <w:rPr>
          <w:rFonts w:hAnsi="宋体" w:cs="宋体"/>
        </w:rPr>
        <w:t>。</w:t>
      </w:r>
    </w:p>
    <w:p>
      <w:pPr>
        <w:pStyle w:val="12"/>
        <w:spacing w:line="440" w:lineRule="exact"/>
        <w:rPr>
          <w:rFonts w:hAnsi="宋体" w:cs="宋体"/>
        </w:rPr>
      </w:pPr>
      <w:r>
        <w:rPr>
          <w:rFonts w:hint="eastAsia" w:hAnsi="宋体" w:cs="宋体"/>
        </w:rPr>
        <w:t>7、承诺书（省相关部门审批文件）</w:t>
      </w:r>
    </w:p>
    <w:p>
      <w:pPr>
        <w:pStyle w:val="12"/>
        <w:spacing w:line="440" w:lineRule="exact"/>
        <w:rPr>
          <w:rFonts w:hAnsi="宋体" w:cs="宋体"/>
          <w:szCs w:val="21"/>
        </w:rPr>
      </w:pPr>
    </w:p>
    <w:p>
      <w:pPr>
        <w:spacing w:line="500" w:lineRule="exact"/>
        <w:jc w:val="center"/>
        <w:outlineLvl w:val="0"/>
        <w:rPr>
          <w:rFonts w:ascii="宋体" w:hAnsi="宋体"/>
        </w:rPr>
      </w:pPr>
      <w:r>
        <w:rPr>
          <w:rFonts w:ascii="宋体" w:hAnsi="宋体" w:cs="宋体"/>
        </w:rPr>
        <w:br w:type="page"/>
      </w:r>
      <w:r>
        <w:rPr>
          <w:rFonts w:hint="eastAsia" w:ascii="Times New Roman" w:hAnsi="Times New Roman"/>
          <w:b/>
          <w:bCs/>
          <w:sz w:val="32"/>
          <w:szCs w:val="36"/>
        </w:rPr>
        <w:t>七、</w:t>
      </w:r>
      <w:bookmarkStart w:id="26" w:name="_Toc23120"/>
      <w:r>
        <w:rPr>
          <w:rFonts w:hint="eastAsia" w:ascii="Times New Roman" w:hAnsi="Times New Roman"/>
          <w:b/>
          <w:bCs/>
          <w:sz w:val="32"/>
          <w:szCs w:val="36"/>
        </w:rPr>
        <w:t>竞争性磋商文件商务标格式</w:t>
      </w:r>
      <w:bookmarkEnd w:id="26"/>
    </w:p>
    <w:p>
      <w:pPr>
        <w:pStyle w:val="12"/>
        <w:spacing w:line="440" w:lineRule="exact"/>
        <w:rPr>
          <w:rFonts w:hAnsi="宋体" w:cs="宋体"/>
          <w:szCs w:val="21"/>
        </w:rPr>
      </w:pPr>
    </w:p>
    <w:p>
      <w:pPr>
        <w:pStyle w:val="12"/>
        <w:spacing w:line="440" w:lineRule="exact"/>
        <w:rPr>
          <w:rFonts w:hAnsi="宋体" w:cs="宋体"/>
          <w:szCs w:val="21"/>
        </w:rPr>
      </w:pPr>
    </w:p>
    <w:p>
      <w:pPr>
        <w:pStyle w:val="12"/>
        <w:spacing w:line="440" w:lineRule="exact"/>
        <w:jc w:val="center"/>
        <w:rPr>
          <w:rFonts w:hAnsi="宋体" w:cs="宋体"/>
          <w:szCs w:val="21"/>
        </w:rPr>
      </w:pPr>
      <w:r>
        <w:rPr>
          <w:rFonts w:hint="eastAsia" w:hAnsi="宋体" w:cs="宋体"/>
          <w:szCs w:val="21"/>
        </w:rPr>
        <w:t>采用综合单价形式</w:t>
      </w:r>
    </w:p>
    <w:p>
      <w:pPr>
        <w:pStyle w:val="12"/>
        <w:spacing w:line="440" w:lineRule="exact"/>
        <w:jc w:val="center"/>
        <w:rPr>
          <w:rFonts w:hAnsi="宋体" w:cs="宋体"/>
          <w:szCs w:val="21"/>
        </w:rPr>
      </w:pPr>
      <w:r>
        <w:rPr>
          <w:rFonts w:hint="eastAsia" w:hAnsi="宋体" w:cs="宋体"/>
          <w:szCs w:val="21"/>
        </w:rPr>
        <w:t>工程量清单报价表格式</w:t>
      </w:r>
    </w:p>
    <w:p>
      <w:pPr>
        <w:pStyle w:val="12"/>
        <w:spacing w:line="440" w:lineRule="exact"/>
        <w:jc w:val="center"/>
        <w:rPr>
          <w:rFonts w:hAnsi="宋体" w:cs="宋体"/>
          <w:szCs w:val="21"/>
        </w:rPr>
      </w:pPr>
      <w:r>
        <w:rPr>
          <w:rFonts w:hint="eastAsia" w:hAnsi="宋体" w:cs="宋体"/>
          <w:szCs w:val="21"/>
        </w:rPr>
        <w:t>（参照工程量清单标准格式）</w:t>
      </w:r>
    </w:p>
    <w:p>
      <w:pPr>
        <w:spacing w:line="500" w:lineRule="exact"/>
        <w:jc w:val="center"/>
        <w:outlineLvl w:val="0"/>
        <w:rPr>
          <w:rFonts w:ascii="宋体" w:hAnsi="宋体"/>
        </w:rPr>
      </w:pPr>
      <w:r>
        <w:rPr>
          <w:rFonts w:ascii="宋体" w:hAnsi="宋体"/>
        </w:rPr>
        <w:br w:type="page"/>
      </w:r>
      <w:bookmarkStart w:id="27" w:name="_Toc6279"/>
      <w:r>
        <w:rPr>
          <w:rFonts w:hint="eastAsia" w:ascii="Times New Roman" w:hAnsi="Times New Roman"/>
          <w:b/>
          <w:bCs/>
          <w:sz w:val="32"/>
          <w:szCs w:val="36"/>
        </w:rPr>
        <w:t>八、竞争性磋商文件技术标格式</w:t>
      </w:r>
      <w:bookmarkEnd w:id="27"/>
    </w:p>
    <w:p>
      <w:pPr>
        <w:spacing w:line="360" w:lineRule="auto"/>
        <w:jc w:val="left"/>
        <w:rPr>
          <w:rFonts w:ascii="宋体" w:hAnsi="宋体" w:cs="宋体"/>
          <w:b/>
        </w:rPr>
      </w:pPr>
    </w:p>
    <w:p>
      <w:pPr>
        <w:spacing w:line="360" w:lineRule="auto"/>
        <w:ind w:firstLine="420" w:firstLineChars="200"/>
        <w:rPr>
          <w:rFonts w:ascii="宋体" w:hAnsi="宋体"/>
        </w:rPr>
      </w:pPr>
      <w:r>
        <w:rPr>
          <w:rFonts w:hint="eastAsia" w:ascii="宋体" w:hAnsi="宋体"/>
        </w:rPr>
        <w:t>一、施工组织设计</w:t>
      </w:r>
    </w:p>
    <w:p>
      <w:pPr>
        <w:spacing w:line="360" w:lineRule="auto"/>
        <w:ind w:firstLine="420" w:firstLineChars="200"/>
        <w:rPr>
          <w:rFonts w:ascii="宋体" w:hAnsi="宋体"/>
        </w:rPr>
      </w:pPr>
      <w:r>
        <w:rPr>
          <w:rFonts w:ascii="宋体" w:hAnsi="宋体"/>
        </w:rPr>
        <w:t>1</w:t>
      </w:r>
      <w:r>
        <w:rPr>
          <w:rFonts w:hint="eastAsia" w:ascii="宋体" w:hAnsi="宋体"/>
        </w:rPr>
        <w:t>、供应商应编制施工组织设计，包括竞争性磋商文件第一章响应供应商须知前附表规定的施工组织设计基本内容。编制的具体要求是：编制时应采用文字并结合图表形式说明各分部分项工程的施工方法；拟投入的主要施工机械设备情况、主要施工机械进场计划、劳动力计划等；结合招标工程特点提出切实可行的保证工程质量、安全生产、文明施工、工程进度的技术组织措施，同时应对关键工序、复杂环节重点提出相应技术措施，如冬雨季施工技术措施、减少扰民噪音、降低环境污染技术措施、地下管线及其他地上地下设施的保护加固措施等。拟投入的主要施工机械必须包括空压机、切割机、油漆喷枪、喷涂机、打磨机、抛光机等。</w:t>
      </w:r>
    </w:p>
    <w:p>
      <w:pPr>
        <w:spacing w:line="360" w:lineRule="auto"/>
        <w:ind w:firstLine="420" w:firstLineChars="200"/>
        <w:rPr>
          <w:rFonts w:ascii="宋体" w:hAnsi="宋体"/>
        </w:rPr>
      </w:pPr>
      <w:r>
        <w:rPr>
          <w:rFonts w:ascii="宋体" w:hAnsi="宋体"/>
        </w:rPr>
        <w:t>2</w:t>
      </w:r>
      <w:r>
        <w:rPr>
          <w:rFonts w:hint="eastAsia" w:ascii="宋体" w:hAnsi="宋体"/>
        </w:rPr>
        <w:t>、施工组织设计除采用文字表述外应附下列图表，图表及格式要求附后。</w:t>
      </w:r>
    </w:p>
    <w:p>
      <w:pPr>
        <w:spacing w:line="360" w:lineRule="auto"/>
        <w:ind w:firstLine="420" w:firstLineChars="200"/>
        <w:rPr>
          <w:rFonts w:ascii="宋体" w:hAnsi="宋体"/>
        </w:rPr>
      </w:pPr>
      <w:r>
        <w:rPr>
          <w:rFonts w:ascii="宋体" w:hAnsi="宋体"/>
        </w:rPr>
        <w:t xml:space="preserve">2.1 </w:t>
      </w:r>
      <w:r>
        <w:rPr>
          <w:rFonts w:hint="eastAsia" w:ascii="宋体" w:hAnsi="宋体"/>
        </w:rPr>
        <w:t>拟投入的主要施工机械设备表</w:t>
      </w:r>
    </w:p>
    <w:p>
      <w:pPr>
        <w:spacing w:line="360" w:lineRule="auto"/>
        <w:ind w:firstLine="420" w:firstLineChars="200"/>
        <w:rPr>
          <w:rFonts w:ascii="宋体" w:hAnsi="宋体"/>
        </w:rPr>
      </w:pPr>
      <w:r>
        <w:rPr>
          <w:rFonts w:ascii="宋体" w:hAnsi="宋体"/>
        </w:rPr>
        <w:t xml:space="preserve">2.2 </w:t>
      </w:r>
      <w:r>
        <w:rPr>
          <w:rFonts w:hint="eastAsia" w:ascii="宋体" w:hAnsi="宋体"/>
        </w:rPr>
        <w:t>劳动力安排计划表</w:t>
      </w:r>
    </w:p>
    <w:p>
      <w:pPr>
        <w:spacing w:line="360" w:lineRule="auto"/>
        <w:ind w:firstLine="420" w:firstLineChars="200"/>
        <w:rPr>
          <w:rFonts w:ascii="宋体" w:hAnsi="宋体"/>
        </w:rPr>
      </w:pPr>
      <w:r>
        <w:rPr>
          <w:rFonts w:ascii="宋体" w:hAnsi="宋体"/>
        </w:rPr>
        <w:t xml:space="preserve">2.3 </w:t>
      </w:r>
      <w:r>
        <w:rPr>
          <w:rFonts w:hint="eastAsia" w:ascii="宋体" w:hAnsi="宋体"/>
        </w:rPr>
        <w:t>计划开、竣工日期和施工进度网络图和横道图</w:t>
      </w:r>
    </w:p>
    <w:p>
      <w:pPr>
        <w:spacing w:line="360" w:lineRule="auto"/>
        <w:ind w:firstLine="420" w:firstLineChars="200"/>
        <w:rPr>
          <w:rFonts w:ascii="宋体" w:hAnsi="宋体"/>
        </w:rPr>
      </w:pPr>
    </w:p>
    <w:p>
      <w:pPr>
        <w:spacing w:line="360" w:lineRule="auto"/>
        <w:ind w:firstLine="420" w:firstLineChars="200"/>
        <w:rPr>
          <w:rFonts w:ascii="宋体" w:hAnsi="宋体"/>
        </w:rPr>
      </w:pPr>
    </w:p>
    <w:p>
      <w:pPr>
        <w:rPr>
          <w:rFonts w:ascii="宋体" w:hAnsi="宋体"/>
        </w:rPr>
      </w:pPr>
    </w:p>
    <w:p>
      <w:pPr>
        <w:spacing w:line="360" w:lineRule="auto"/>
        <w:jc w:val="center"/>
        <w:rPr>
          <w:rFonts w:ascii="宋体" w:hAnsi="宋体"/>
          <w:b/>
          <w:bCs/>
        </w:rPr>
      </w:pPr>
      <w:r>
        <w:rPr>
          <w:rFonts w:ascii="宋体" w:hAnsi="宋体"/>
          <w:b/>
        </w:rPr>
        <w:br w:type="page"/>
      </w:r>
      <w:r>
        <w:rPr>
          <w:rFonts w:hint="eastAsia" w:ascii="宋体" w:hAnsi="宋体"/>
          <w:b/>
          <w:bCs/>
        </w:rPr>
        <w:t>（</w:t>
      </w:r>
      <w:r>
        <w:rPr>
          <w:rFonts w:ascii="宋体" w:hAnsi="宋体"/>
          <w:b/>
          <w:bCs/>
        </w:rPr>
        <w:t>1</w:t>
      </w:r>
      <w:r>
        <w:rPr>
          <w:rFonts w:hint="eastAsia" w:ascii="宋体" w:hAnsi="宋体"/>
          <w:b/>
          <w:bCs/>
        </w:rPr>
        <w:t>）拟投入的主要施工机械设备表</w:t>
      </w:r>
    </w:p>
    <w:p>
      <w:pPr>
        <w:spacing w:line="360" w:lineRule="auto"/>
        <w:ind w:firstLine="210" w:firstLineChars="100"/>
        <w:rPr>
          <w:rFonts w:ascii="宋体" w:hAnsi="宋体"/>
        </w:rPr>
      </w:pPr>
      <w:r>
        <w:rPr>
          <w:rFonts w:hint="eastAsia" w:ascii="宋体" w:hAnsi="宋体"/>
          <w:u w:val="single"/>
        </w:rPr>
        <w:t>（项目名称）</w:t>
      </w:r>
      <w:r>
        <w:rPr>
          <w:rFonts w:hint="eastAsia" w:ascii="宋体" w:hAnsi="宋体"/>
        </w:rPr>
        <w:t>工程</w:t>
      </w:r>
    </w:p>
    <w:tbl>
      <w:tblPr>
        <w:tblStyle w:val="26"/>
        <w:tblW w:w="8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1659"/>
        <w:gridCol w:w="426"/>
        <w:gridCol w:w="714"/>
        <w:gridCol w:w="661"/>
        <w:gridCol w:w="748"/>
        <w:gridCol w:w="964"/>
        <w:gridCol w:w="661"/>
        <w:gridCol w:w="804"/>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661" w:type="dxa"/>
            <w:vAlign w:val="center"/>
          </w:tcPr>
          <w:p>
            <w:pPr>
              <w:jc w:val="center"/>
              <w:rPr>
                <w:rFonts w:ascii="宋体" w:hAnsi="宋体"/>
              </w:rPr>
            </w:pPr>
            <w:r>
              <w:rPr>
                <w:rFonts w:hint="eastAsia" w:ascii="宋体" w:hAnsi="宋体"/>
              </w:rPr>
              <w:t>序号</w:t>
            </w:r>
          </w:p>
        </w:tc>
        <w:tc>
          <w:tcPr>
            <w:tcW w:w="1659" w:type="dxa"/>
            <w:vAlign w:val="center"/>
          </w:tcPr>
          <w:p>
            <w:pPr>
              <w:jc w:val="center"/>
              <w:rPr>
                <w:rFonts w:ascii="宋体" w:hAnsi="宋体"/>
              </w:rPr>
            </w:pPr>
            <w:r>
              <w:rPr>
                <w:rFonts w:hint="eastAsia" w:ascii="宋体" w:hAnsi="宋体"/>
              </w:rPr>
              <w:t>机械或</w:t>
            </w:r>
          </w:p>
          <w:p>
            <w:pPr>
              <w:jc w:val="center"/>
              <w:rPr>
                <w:rFonts w:ascii="宋体" w:hAnsi="宋体"/>
              </w:rPr>
            </w:pPr>
            <w:r>
              <w:rPr>
                <w:rFonts w:hint="eastAsia" w:ascii="宋体" w:hAnsi="宋体"/>
              </w:rPr>
              <w:t>设备名称</w:t>
            </w:r>
          </w:p>
        </w:tc>
        <w:tc>
          <w:tcPr>
            <w:tcW w:w="426" w:type="dxa"/>
            <w:vAlign w:val="center"/>
          </w:tcPr>
          <w:p>
            <w:pPr>
              <w:jc w:val="center"/>
              <w:rPr>
                <w:rFonts w:ascii="宋体" w:hAnsi="宋体"/>
              </w:rPr>
            </w:pPr>
            <w:r>
              <w:rPr>
                <w:rFonts w:hint="eastAsia" w:ascii="宋体" w:hAnsi="宋体"/>
              </w:rPr>
              <w:t>型号</w:t>
            </w:r>
          </w:p>
          <w:p>
            <w:pPr>
              <w:jc w:val="center"/>
              <w:rPr>
                <w:rFonts w:ascii="宋体" w:hAnsi="宋体"/>
              </w:rPr>
            </w:pPr>
            <w:r>
              <w:rPr>
                <w:rFonts w:hint="eastAsia" w:ascii="宋体" w:hAnsi="宋体"/>
              </w:rPr>
              <w:t>规格</w:t>
            </w:r>
          </w:p>
        </w:tc>
        <w:tc>
          <w:tcPr>
            <w:tcW w:w="714" w:type="dxa"/>
            <w:vAlign w:val="center"/>
          </w:tcPr>
          <w:p>
            <w:pPr>
              <w:jc w:val="center"/>
              <w:rPr>
                <w:rFonts w:ascii="宋体" w:hAnsi="宋体"/>
              </w:rPr>
            </w:pPr>
            <w:r>
              <w:rPr>
                <w:rFonts w:hint="eastAsia" w:ascii="宋体" w:hAnsi="宋体"/>
              </w:rPr>
              <w:t>数量</w:t>
            </w:r>
          </w:p>
        </w:tc>
        <w:tc>
          <w:tcPr>
            <w:tcW w:w="661" w:type="dxa"/>
            <w:vAlign w:val="center"/>
          </w:tcPr>
          <w:p>
            <w:pPr>
              <w:jc w:val="center"/>
              <w:rPr>
                <w:rFonts w:ascii="宋体" w:hAnsi="宋体"/>
              </w:rPr>
            </w:pPr>
            <w:r>
              <w:rPr>
                <w:rFonts w:hint="eastAsia" w:ascii="宋体" w:hAnsi="宋体"/>
              </w:rPr>
              <w:t>国别</w:t>
            </w:r>
          </w:p>
          <w:p>
            <w:pPr>
              <w:jc w:val="center"/>
              <w:rPr>
                <w:rFonts w:ascii="宋体" w:hAnsi="宋体"/>
              </w:rPr>
            </w:pPr>
            <w:r>
              <w:rPr>
                <w:rFonts w:hint="eastAsia" w:ascii="宋体" w:hAnsi="宋体"/>
              </w:rPr>
              <w:t>产地</w:t>
            </w:r>
          </w:p>
        </w:tc>
        <w:tc>
          <w:tcPr>
            <w:tcW w:w="748" w:type="dxa"/>
            <w:vAlign w:val="center"/>
          </w:tcPr>
          <w:p>
            <w:pPr>
              <w:jc w:val="center"/>
              <w:rPr>
                <w:rFonts w:ascii="宋体" w:hAnsi="宋体"/>
              </w:rPr>
            </w:pPr>
            <w:r>
              <w:rPr>
                <w:rFonts w:hint="eastAsia" w:ascii="宋体" w:hAnsi="宋体"/>
              </w:rPr>
              <w:t>制造年份</w:t>
            </w:r>
          </w:p>
        </w:tc>
        <w:tc>
          <w:tcPr>
            <w:tcW w:w="964" w:type="dxa"/>
            <w:vAlign w:val="center"/>
          </w:tcPr>
          <w:p>
            <w:pPr>
              <w:jc w:val="center"/>
              <w:rPr>
                <w:rFonts w:ascii="宋体" w:hAnsi="宋体"/>
              </w:rPr>
            </w:pPr>
            <w:r>
              <w:rPr>
                <w:rFonts w:hint="eastAsia" w:ascii="宋体" w:hAnsi="宋体"/>
              </w:rPr>
              <w:t>额定功率（</w:t>
            </w:r>
            <w:r>
              <w:rPr>
                <w:rFonts w:ascii="宋体" w:hAnsi="宋体"/>
              </w:rPr>
              <w:t>Kw</w:t>
            </w:r>
            <w:r>
              <w:rPr>
                <w:rFonts w:hint="eastAsia" w:ascii="宋体" w:hAnsi="宋体"/>
              </w:rPr>
              <w:t>）</w:t>
            </w:r>
          </w:p>
        </w:tc>
        <w:tc>
          <w:tcPr>
            <w:tcW w:w="661" w:type="dxa"/>
            <w:vAlign w:val="center"/>
          </w:tcPr>
          <w:p>
            <w:pPr>
              <w:jc w:val="center"/>
              <w:rPr>
                <w:rFonts w:ascii="宋体" w:hAnsi="宋体"/>
              </w:rPr>
            </w:pPr>
            <w:r>
              <w:rPr>
                <w:rFonts w:hint="eastAsia" w:ascii="宋体" w:hAnsi="宋体"/>
              </w:rPr>
              <w:t>生产能力</w:t>
            </w:r>
          </w:p>
        </w:tc>
        <w:tc>
          <w:tcPr>
            <w:tcW w:w="804" w:type="dxa"/>
            <w:vAlign w:val="center"/>
          </w:tcPr>
          <w:p>
            <w:pPr>
              <w:jc w:val="center"/>
              <w:rPr>
                <w:rFonts w:ascii="宋体" w:hAnsi="宋体"/>
              </w:rPr>
            </w:pPr>
            <w:r>
              <w:rPr>
                <w:rFonts w:hint="eastAsia" w:ascii="宋体" w:hAnsi="宋体"/>
              </w:rPr>
              <w:t>用于施工部位</w:t>
            </w:r>
          </w:p>
        </w:tc>
        <w:tc>
          <w:tcPr>
            <w:tcW w:w="804" w:type="dxa"/>
            <w:vAlign w:val="center"/>
          </w:tcPr>
          <w:p>
            <w:pPr>
              <w:jc w:val="center"/>
              <w:rPr>
                <w:rFonts w:ascii="宋体" w:hAnsi="宋体"/>
              </w:rPr>
            </w:pPr>
            <w:r>
              <w:rPr>
                <w:rFonts w:hint="eastAsia" w:ascii="宋体"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661" w:type="dxa"/>
            <w:vAlign w:val="center"/>
          </w:tcPr>
          <w:p>
            <w:pPr>
              <w:jc w:val="center"/>
              <w:rPr>
                <w:rFonts w:ascii="宋体" w:hAnsi="宋体"/>
              </w:rPr>
            </w:pPr>
          </w:p>
        </w:tc>
        <w:tc>
          <w:tcPr>
            <w:tcW w:w="1659" w:type="dxa"/>
            <w:vAlign w:val="center"/>
          </w:tcPr>
          <w:p>
            <w:pPr>
              <w:jc w:val="center"/>
              <w:rPr>
                <w:rFonts w:ascii="宋体" w:hAnsi="宋体"/>
              </w:rPr>
            </w:pPr>
          </w:p>
        </w:tc>
        <w:tc>
          <w:tcPr>
            <w:tcW w:w="426" w:type="dxa"/>
            <w:vAlign w:val="center"/>
          </w:tcPr>
          <w:p>
            <w:pPr>
              <w:jc w:val="center"/>
              <w:rPr>
                <w:rFonts w:ascii="宋体" w:hAnsi="宋体"/>
              </w:rPr>
            </w:pPr>
          </w:p>
        </w:tc>
        <w:tc>
          <w:tcPr>
            <w:tcW w:w="714" w:type="dxa"/>
            <w:vAlign w:val="center"/>
          </w:tcPr>
          <w:p>
            <w:pPr>
              <w:jc w:val="center"/>
              <w:rPr>
                <w:rFonts w:ascii="宋体" w:hAnsi="宋体"/>
              </w:rPr>
            </w:pPr>
          </w:p>
        </w:tc>
        <w:tc>
          <w:tcPr>
            <w:tcW w:w="661" w:type="dxa"/>
            <w:vAlign w:val="center"/>
          </w:tcPr>
          <w:p>
            <w:pPr>
              <w:jc w:val="center"/>
              <w:rPr>
                <w:rFonts w:ascii="宋体" w:hAnsi="宋体"/>
              </w:rPr>
            </w:pPr>
          </w:p>
        </w:tc>
        <w:tc>
          <w:tcPr>
            <w:tcW w:w="748" w:type="dxa"/>
            <w:vAlign w:val="center"/>
          </w:tcPr>
          <w:p>
            <w:pPr>
              <w:jc w:val="center"/>
              <w:rPr>
                <w:rFonts w:ascii="宋体" w:hAnsi="宋体"/>
              </w:rPr>
            </w:pPr>
          </w:p>
        </w:tc>
        <w:tc>
          <w:tcPr>
            <w:tcW w:w="964" w:type="dxa"/>
            <w:vAlign w:val="center"/>
          </w:tcPr>
          <w:p>
            <w:pPr>
              <w:jc w:val="center"/>
              <w:rPr>
                <w:rFonts w:ascii="宋体" w:hAnsi="宋体"/>
              </w:rPr>
            </w:pPr>
          </w:p>
        </w:tc>
        <w:tc>
          <w:tcPr>
            <w:tcW w:w="661" w:type="dxa"/>
            <w:vAlign w:val="center"/>
          </w:tcPr>
          <w:p>
            <w:pPr>
              <w:jc w:val="center"/>
              <w:rPr>
                <w:rFonts w:ascii="宋体" w:hAnsi="宋体"/>
              </w:rPr>
            </w:pPr>
          </w:p>
        </w:tc>
        <w:tc>
          <w:tcPr>
            <w:tcW w:w="804" w:type="dxa"/>
            <w:vAlign w:val="center"/>
          </w:tcPr>
          <w:p>
            <w:pPr>
              <w:jc w:val="center"/>
              <w:rPr>
                <w:rFonts w:ascii="宋体" w:hAnsi="宋体"/>
              </w:rPr>
            </w:pPr>
          </w:p>
        </w:tc>
        <w:tc>
          <w:tcPr>
            <w:tcW w:w="804" w:type="dxa"/>
            <w:vAlign w:val="center"/>
          </w:tcPr>
          <w:p>
            <w:pPr>
              <w:jc w:val="center"/>
              <w:rPr>
                <w:rFonts w:ascii="宋体" w:hAnsi="宋体"/>
              </w:rPr>
            </w:pPr>
          </w:p>
        </w:tc>
      </w:tr>
    </w:tbl>
    <w:p>
      <w:pPr>
        <w:spacing w:line="360" w:lineRule="auto"/>
        <w:ind w:firstLine="630" w:firstLineChars="300"/>
        <w:rPr>
          <w:rFonts w:ascii="宋体" w:hAnsi="宋体"/>
        </w:rPr>
      </w:pPr>
    </w:p>
    <w:p>
      <w:pPr>
        <w:spacing w:line="360" w:lineRule="auto"/>
        <w:ind w:firstLine="420" w:firstLineChars="200"/>
        <w:rPr>
          <w:rFonts w:ascii="宋体" w:hAnsi="宋体"/>
        </w:rPr>
      </w:pPr>
    </w:p>
    <w:p>
      <w:pPr>
        <w:spacing w:line="360" w:lineRule="auto"/>
        <w:jc w:val="center"/>
        <w:rPr>
          <w:rFonts w:ascii="宋体" w:hAnsi="宋体"/>
          <w:b/>
          <w:bCs/>
        </w:rPr>
      </w:pPr>
      <w:r>
        <w:rPr>
          <w:rFonts w:ascii="宋体" w:hAnsi="宋体"/>
        </w:rPr>
        <w:br w:type="page"/>
      </w:r>
      <w:r>
        <w:rPr>
          <w:rFonts w:hint="eastAsia" w:ascii="宋体" w:hAnsi="宋体"/>
          <w:b/>
          <w:bCs/>
        </w:rPr>
        <w:t>（</w:t>
      </w:r>
      <w:r>
        <w:rPr>
          <w:rFonts w:ascii="宋体" w:hAnsi="宋体"/>
          <w:b/>
          <w:bCs/>
        </w:rPr>
        <w:t>2</w:t>
      </w:r>
      <w:r>
        <w:rPr>
          <w:rFonts w:hint="eastAsia" w:ascii="宋体" w:hAnsi="宋体"/>
          <w:b/>
          <w:bCs/>
        </w:rPr>
        <w:t>）劳动力安排计划表</w:t>
      </w:r>
    </w:p>
    <w:p>
      <w:pPr>
        <w:spacing w:line="360" w:lineRule="auto"/>
        <w:ind w:firstLine="315" w:firstLineChars="150"/>
        <w:rPr>
          <w:rFonts w:ascii="宋体" w:hAnsi="宋体"/>
        </w:rPr>
      </w:pPr>
      <w:r>
        <w:rPr>
          <w:rFonts w:hint="eastAsia" w:ascii="宋体" w:hAnsi="宋体"/>
          <w:u w:val="single"/>
        </w:rPr>
        <w:t>（项目名称）</w:t>
      </w:r>
      <w:r>
        <w:rPr>
          <w:rFonts w:hint="eastAsia" w:ascii="宋体" w:hAnsi="宋体"/>
        </w:rPr>
        <w:t>工程单位：人</w:t>
      </w:r>
    </w:p>
    <w:tbl>
      <w:tblPr>
        <w:tblStyle w:val="26"/>
        <w:tblW w:w="8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1014"/>
        <w:gridCol w:w="1022"/>
        <w:gridCol w:w="1022"/>
        <w:gridCol w:w="1022"/>
        <w:gridCol w:w="1022"/>
        <w:gridCol w:w="1022"/>
        <w:gridCol w:w="1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jc w:val="center"/>
        </w:trPr>
        <w:tc>
          <w:tcPr>
            <w:tcW w:w="956" w:type="dxa"/>
            <w:vMerge w:val="restart"/>
            <w:vAlign w:val="center"/>
          </w:tcPr>
          <w:p>
            <w:pPr>
              <w:jc w:val="center"/>
              <w:rPr>
                <w:rFonts w:ascii="宋体" w:hAnsi="宋体"/>
              </w:rPr>
            </w:pPr>
            <w:r>
              <w:rPr>
                <w:rFonts w:hint="eastAsia" w:ascii="宋体" w:hAnsi="宋体"/>
              </w:rPr>
              <w:t>工种</w:t>
            </w:r>
          </w:p>
        </w:tc>
        <w:tc>
          <w:tcPr>
            <w:tcW w:w="7146" w:type="dxa"/>
            <w:gridSpan w:val="7"/>
            <w:vAlign w:val="center"/>
          </w:tcPr>
          <w:p>
            <w:pPr>
              <w:jc w:val="center"/>
              <w:rPr>
                <w:rFonts w:ascii="宋体" w:hAnsi="宋体"/>
              </w:rPr>
            </w:pPr>
            <w:r>
              <w:rPr>
                <w:rFonts w:hint="eastAsia" w:ascii="宋体" w:hAnsi="宋体"/>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956" w:type="dxa"/>
            <w:vMerge w:val="continue"/>
            <w:vAlign w:val="center"/>
          </w:tcPr>
          <w:p>
            <w:pPr>
              <w:rPr>
                <w:rFonts w:ascii="宋体" w:hAnsi="宋体"/>
              </w:rPr>
            </w:pPr>
          </w:p>
        </w:tc>
        <w:tc>
          <w:tcPr>
            <w:tcW w:w="1014" w:type="dxa"/>
            <w:vAlign w:val="center"/>
          </w:tcPr>
          <w:p>
            <w:pPr>
              <w:rPr>
                <w:rFonts w:ascii="宋体" w:hAnsi="宋体"/>
              </w:rPr>
            </w:pPr>
          </w:p>
        </w:tc>
        <w:tc>
          <w:tcPr>
            <w:tcW w:w="1022" w:type="dxa"/>
            <w:vAlign w:val="center"/>
          </w:tcPr>
          <w:p>
            <w:pPr>
              <w:rPr>
                <w:rFonts w:ascii="宋体" w:hAnsi="宋体"/>
              </w:rPr>
            </w:pPr>
          </w:p>
        </w:tc>
        <w:tc>
          <w:tcPr>
            <w:tcW w:w="1022" w:type="dxa"/>
            <w:vAlign w:val="center"/>
          </w:tcPr>
          <w:p>
            <w:pPr>
              <w:rPr>
                <w:rFonts w:ascii="宋体" w:hAnsi="宋体"/>
              </w:rPr>
            </w:pPr>
          </w:p>
        </w:tc>
        <w:tc>
          <w:tcPr>
            <w:tcW w:w="1022" w:type="dxa"/>
            <w:vAlign w:val="center"/>
          </w:tcPr>
          <w:p>
            <w:pPr>
              <w:rPr>
                <w:rFonts w:ascii="宋体" w:hAnsi="宋体"/>
              </w:rPr>
            </w:pPr>
          </w:p>
        </w:tc>
        <w:tc>
          <w:tcPr>
            <w:tcW w:w="1022" w:type="dxa"/>
            <w:vAlign w:val="center"/>
          </w:tcPr>
          <w:p>
            <w:pPr>
              <w:rPr>
                <w:rFonts w:ascii="宋体" w:hAnsi="宋体"/>
              </w:rPr>
            </w:pPr>
          </w:p>
        </w:tc>
        <w:tc>
          <w:tcPr>
            <w:tcW w:w="1022" w:type="dxa"/>
            <w:vAlign w:val="center"/>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6" w:type="dxa"/>
          </w:tcPr>
          <w:p>
            <w:pPr>
              <w:rPr>
                <w:rFonts w:ascii="宋体" w:hAnsi="宋体"/>
              </w:rPr>
            </w:pPr>
          </w:p>
        </w:tc>
        <w:tc>
          <w:tcPr>
            <w:tcW w:w="1014"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c>
          <w:tcPr>
            <w:tcW w:w="1022" w:type="dxa"/>
          </w:tcPr>
          <w:p>
            <w:pPr>
              <w:rPr>
                <w:rFonts w:ascii="宋体" w:hAnsi="宋体"/>
              </w:rPr>
            </w:pPr>
          </w:p>
        </w:tc>
      </w:tr>
    </w:tbl>
    <w:p>
      <w:pPr>
        <w:spacing w:line="400" w:lineRule="exact"/>
        <w:ind w:firstLine="630" w:firstLineChars="300"/>
        <w:rPr>
          <w:rFonts w:ascii="宋体" w:hAnsi="宋体"/>
        </w:rPr>
      </w:pPr>
      <w:r>
        <w:rPr>
          <w:rFonts w:hint="eastAsia" w:ascii="宋体" w:hAnsi="宋体"/>
        </w:rPr>
        <w:t>注：</w:t>
      </w:r>
      <w:r>
        <w:rPr>
          <w:rFonts w:ascii="宋体" w:hAnsi="宋体"/>
        </w:rPr>
        <w:t>1</w:t>
      </w:r>
      <w:r>
        <w:rPr>
          <w:rFonts w:hint="eastAsia" w:ascii="宋体" w:hAnsi="宋体"/>
        </w:rPr>
        <w:t>、供应商应按所列格式提交包括分包人在内的估计劳动力计划表。</w:t>
      </w:r>
    </w:p>
    <w:p>
      <w:pPr>
        <w:spacing w:line="400" w:lineRule="exact"/>
        <w:rPr>
          <w:rFonts w:ascii="宋体" w:hAnsi="宋体"/>
        </w:rPr>
      </w:pPr>
      <w:r>
        <w:rPr>
          <w:rFonts w:ascii="宋体" w:hAnsi="宋体"/>
        </w:rPr>
        <w:t xml:space="preserve">          2</w:t>
      </w:r>
      <w:r>
        <w:rPr>
          <w:rFonts w:hint="eastAsia" w:ascii="宋体" w:hAnsi="宋体"/>
        </w:rPr>
        <w:t>、本计划表是以每班八小时工作制为基础编制的。</w:t>
      </w:r>
    </w:p>
    <w:p>
      <w:pPr>
        <w:rPr>
          <w:rFonts w:ascii="宋体" w:hAnsi="宋体"/>
        </w:rPr>
        <w:sectPr>
          <w:headerReference r:id="rId4" w:type="default"/>
          <w:type w:val="nextColumn"/>
          <w:pgSz w:w="11906" w:h="16838"/>
          <w:pgMar w:top="567" w:right="1491" w:bottom="567" w:left="1797" w:header="737" w:footer="851" w:gutter="0"/>
          <w:cols w:space="720" w:num="1"/>
          <w:docGrid w:linePitch="312" w:charSpace="0"/>
        </w:sectPr>
      </w:pPr>
    </w:p>
    <w:p>
      <w:pPr>
        <w:spacing w:line="360" w:lineRule="auto"/>
        <w:jc w:val="center"/>
        <w:rPr>
          <w:rFonts w:ascii="宋体" w:hAnsi="宋体"/>
          <w:b/>
          <w:bCs/>
        </w:rPr>
      </w:pPr>
      <w:r>
        <w:rPr>
          <w:rFonts w:hint="eastAsia" w:ascii="宋体" w:hAnsi="宋体"/>
          <w:b/>
          <w:bCs/>
        </w:rPr>
        <w:t>（</w:t>
      </w:r>
      <w:r>
        <w:rPr>
          <w:rFonts w:ascii="宋体" w:hAnsi="宋体"/>
          <w:b/>
          <w:bCs/>
        </w:rPr>
        <w:t>3</w:t>
      </w:r>
      <w:r>
        <w:rPr>
          <w:rFonts w:hint="eastAsia" w:ascii="宋体" w:hAnsi="宋体"/>
          <w:b/>
          <w:bCs/>
        </w:rPr>
        <w:t>）计划开、竣工日期和施工进度网络和横道图</w:t>
      </w:r>
    </w:p>
    <w:p>
      <w:pPr>
        <w:rPr>
          <w:rFonts w:ascii="宋体" w:hAnsi="宋体"/>
        </w:rPr>
      </w:pPr>
    </w:p>
    <w:p>
      <w:pPr>
        <w:spacing w:line="400" w:lineRule="exact"/>
        <w:ind w:firstLine="420" w:firstLineChars="200"/>
        <w:rPr>
          <w:rFonts w:ascii="宋体" w:hAnsi="宋体"/>
        </w:rPr>
      </w:pPr>
      <w:r>
        <w:rPr>
          <w:rFonts w:ascii="宋体" w:hAnsi="宋体"/>
        </w:rPr>
        <w:t>1</w:t>
      </w:r>
      <w:r>
        <w:rPr>
          <w:rFonts w:hint="eastAsia" w:ascii="宋体" w:hAnsi="宋体"/>
        </w:rPr>
        <w:t>、供应商应提交的施工进度网络图或施工进度表，说明按竞争性磋商文件要求的工期进行施工的各个关键日期。供应商还应按合同条件有关条款的要求提交详细的施工进度计划。</w:t>
      </w:r>
    </w:p>
    <w:p>
      <w:pPr>
        <w:spacing w:line="400" w:lineRule="exact"/>
        <w:ind w:firstLine="198"/>
        <w:rPr>
          <w:rFonts w:ascii="宋体" w:hAnsi="宋体"/>
        </w:rPr>
      </w:pPr>
    </w:p>
    <w:p>
      <w:pPr>
        <w:spacing w:line="400" w:lineRule="exact"/>
        <w:ind w:firstLine="420" w:firstLineChars="200"/>
        <w:rPr>
          <w:rFonts w:ascii="宋体" w:hAnsi="宋体"/>
        </w:rPr>
      </w:pPr>
      <w:r>
        <w:rPr>
          <w:rFonts w:ascii="宋体" w:hAnsi="宋体"/>
        </w:rPr>
        <w:t>2</w:t>
      </w:r>
      <w:r>
        <w:rPr>
          <w:rFonts w:hint="eastAsia" w:ascii="宋体" w:hAnsi="宋体"/>
        </w:rPr>
        <w:t>、施工进度表可采用网络图（或横道图）表示，说明计划开工日期和各分项工程各阶段的完工日期以及分包合同签订的日期。</w:t>
      </w:r>
    </w:p>
    <w:p>
      <w:pPr>
        <w:spacing w:line="400" w:lineRule="exact"/>
        <w:ind w:firstLine="198"/>
        <w:rPr>
          <w:rFonts w:ascii="宋体" w:hAnsi="宋体"/>
        </w:rPr>
      </w:pPr>
    </w:p>
    <w:p>
      <w:pPr>
        <w:spacing w:line="400" w:lineRule="exact"/>
        <w:ind w:firstLine="420" w:firstLineChars="200"/>
        <w:rPr>
          <w:rFonts w:ascii="宋体" w:hAnsi="宋体"/>
        </w:rPr>
      </w:pPr>
      <w:r>
        <w:rPr>
          <w:rFonts w:ascii="宋体" w:hAnsi="宋体"/>
        </w:rPr>
        <w:t>3</w:t>
      </w:r>
      <w:r>
        <w:rPr>
          <w:rFonts w:hint="eastAsia" w:ascii="宋体" w:hAnsi="宋体"/>
        </w:rPr>
        <w:t>、施工进度计划应与施工组织设计相适应。</w:t>
      </w: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ind w:firstLine="420" w:firstLineChars="200"/>
        <w:rPr>
          <w:rFonts w:ascii="宋体" w:hAnsi="宋体"/>
        </w:rPr>
      </w:pPr>
    </w:p>
    <w:p>
      <w:pPr>
        <w:spacing w:line="360" w:lineRule="auto"/>
        <w:rPr>
          <w:rFonts w:ascii="宋体" w:hAnsi="宋体"/>
          <w:b/>
          <w:bCs/>
        </w:rPr>
      </w:pPr>
    </w:p>
    <w:p>
      <w:pPr>
        <w:spacing w:line="360" w:lineRule="auto"/>
        <w:rPr>
          <w:rFonts w:hAnsi="宋体" w:cs="宋体"/>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spacing w:line="500" w:lineRule="exact"/>
        <w:outlineLvl w:val="0"/>
        <w:rPr>
          <w:rFonts w:ascii="Times New Roman" w:hAnsi="Times New Roman"/>
          <w:b/>
          <w:bCs/>
          <w:sz w:val="32"/>
          <w:szCs w:val="36"/>
        </w:rPr>
      </w:pPr>
    </w:p>
    <w:p>
      <w:pPr>
        <w:jc w:val="center"/>
        <w:rPr>
          <w:rFonts w:ascii="宋体" w:hAnsi="宋体" w:cs="宋体"/>
          <w:bCs/>
        </w:rPr>
      </w:pPr>
      <w:r>
        <w:rPr>
          <w:rFonts w:hint="eastAsia" w:ascii="Times New Roman" w:hAnsi="Times New Roman"/>
          <w:b/>
          <w:bCs/>
          <w:sz w:val="32"/>
          <w:szCs w:val="36"/>
        </w:rPr>
        <w:t>九、供应商认为需要提供的其他资料</w:t>
      </w:r>
    </w:p>
    <w:p>
      <w:pPr>
        <w:pStyle w:val="12"/>
        <w:spacing w:line="440" w:lineRule="exact"/>
        <w:jc w:val="center"/>
        <w:rPr>
          <w:rFonts w:hAnsi="宋体" w:cs="宋体"/>
          <w:szCs w:val="21"/>
        </w:rPr>
      </w:pPr>
    </w:p>
    <w:p>
      <w:pPr>
        <w:pStyle w:val="12"/>
        <w:spacing w:line="440" w:lineRule="exact"/>
        <w:jc w:val="center"/>
        <w:rPr>
          <w:rFonts w:hAnsi="宋体" w:cs="宋体"/>
          <w:szCs w:val="21"/>
        </w:rPr>
      </w:pPr>
    </w:p>
    <w:p>
      <w:pPr>
        <w:pStyle w:val="12"/>
        <w:spacing w:line="440" w:lineRule="exact"/>
        <w:jc w:val="center"/>
        <w:rPr>
          <w:rFonts w:hAnsi="宋体" w:cs="宋体"/>
          <w:szCs w:val="21"/>
        </w:rPr>
      </w:pPr>
      <w:r>
        <w:rPr>
          <w:rFonts w:hint="eastAsia" w:hAnsi="宋体" w:cs="宋体"/>
          <w:szCs w:val="21"/>
        </w:rPr>
        <w:t>（格式自定）</w:t>
      </w:r>
    </w:p>
    <w:p>
      <w:pPr>
        <w:spacing w:line="360" w:lineRule="auto"/>
        <w:jc w:val="left"/>
        <w:rPr>
          <w:rFonts w:ascii="宋体" w:hAnsi="宋体"/>
          <w:bCs/>
        </w:rPr>
      </w:pPr>
    </w:p>
    <w:p>
      <w:pPr>
        <w:autoSpaceDE w:val="0"/>
        <w:autoSpaceDN w:val="0"/>
        <w:adjustRightInd w:val="0"/>
        <w:spacing w:line="360" w:lineRule="auto"/>
        <w:jc w:val="left"/>
        <w:rPr>
          <w:rFonts w:ascii="宋体" w:hAnsi="宋体"/>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PMingLiUfalt">
    <w:altName w:val="MingLiU-ExtB"/>
    <w:panose1 w:val="00000000000000000000"/>
    <w:charset w:val="88"/>
    <w:family w:val="auto"/>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5214917"/>
    </w:sdtPr>
    <w:sdtContent>
      <w:p>
        <w:pPr>
          <w:pStyle w:val="16"/>
          <w:jc w:val="center"/>
        </w:pPr>
        <w:r>
          <w:fldChar w:fldCharType="begin"/>
        </w:r>
        <w:r>
          <w:instrText xml:space="preserve">PAGE   \* MERGEFORMAT</w:instrText>
        </w:r>
        <w:r>
          <w:fldChar w:fldCharType="separate"/>
        </w:r>
        <w:r>
          <w:rPr>
            <w:lang w:val="zh-CN"/>
          </w:rPr>
          <w:t>28</w:t>
        </w:r>
        <w:r>
          <w:rPr>
            <w:lang w:val="zh-CN"/>
          </w:rPr>
          <w:fldChar w:fldCharType="end"/>
        </w:r>
      </w:p>
    </w:sdtContent>
  </w:sdt>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8"/>
    <w:multiLevelType w:val="multilevel"/>
    <w:tmpl w:val="00000028"/>
    <w:lvl w:ilvl="0" w:tentative="0">
      <w:start w:val="1"/>
      <w:numFmt w:val="decimal"/>
      <w:lvlText w:val="%1、"/>
      <w:lvlJc w:val="left"/>
      <w:pPr>
        <w:tabs>
          <w:tab w:val="left" w:pos="780"/>
        </w:tabs>
        <w:ind w:left="780" w:hanging="360"/>
      </w:pPr>
      <w:rPr>
        <w:rFonts w:hint="default" w:cs="Times New Roman"/>
      </w:rPr>
    </w:lvl>
    <w:lvl w:ilvl="1" w:tentative="0">
      <w:start w:val="1"/>
      <w:numFmt w:val="japaneseCounting"/>
      <w:lvlText w:val="%2、"/>
      <w:lvlJc w:val="left"/>
      <w:pPr>
        <w:tabs>
          <w:tab w:val="left" w:pos="465"/>
        </w:tabs>
        <w:ind w:left="465" w:hanging="465"/>
      </w:pPr>
      <w:rPr>
        <w:rFonts w:hint="default" w:cs="黑体"/>
      </w:rPr>
    </w:lvl>
    <w:lvl w:ilvl="2" w:tentative="0">
      <w:start w:val="1"/>
      <w:numFmt w:val="decimal"/>
      <w:lvlText w:val="%3)"/>
      <w:lvlJc w:val="left"/>
      <w:pPr>
        <w:tabs>
          <w:tab w:val="left" w:pos="1500"/>
        </w:tabs>
        <w:ind w:left="1500" w:hanging="240"/>
      </w:pPr>
      <w:rPr>
        <w:rFonts w:hint="default" w:cs="Times New Roman"/>
      </w:rPr>
    </w:lvl>
    <w:lvl w:ilvl="3" w:tentative="0">
      <w:start w:val="1"/>
      <w:numFmt w:val="decimal"/>
      <w:lvlText w:val="%4）"/>
      <w:lvlJc w:val="left"/>
      <w:pPr>
        <w:tabs>
          <w:tab w:val="left" w:pos="2040"/>
        </w:tabs>
        <w:ind w:left="2040" w:hanging="360"/>
      </w:pPr>
      <w:rPr>
        <w:rFonts w:hint="default" w:cs="Times New Roman"/>
      </w:rPr>
    </w:lvl>
    <w:lvl w:ilvl="4" w:tentative="0">
      <w:start w:val="1"/>
      <w:numFmt w:val="japaneseCounting"/>
      <w:lvlText w:val="（%5）"/>
      <w:lvlJc w:val="left"/>
      <w:pPr>
        <w:tabs>
          <w:tab w:val="left" w:pos="2820"/>
        </w:tabs>
        <w:ind w:left="2820" w:hanging="720"/>
      </w:pPr>
      <w:rPr>
        <w:rFonts w:hint="default" w:cs="Times New Roman"/>
      </w:rPr>
    </w:lvl>
    <w:lvl w:ilvl="5" w:tentative="0">
      <w:start w:val="1"/>
      <w:numFmt w:val="lowerRoman"/>
      <w:lvlText w:val="%6."/>
      <w:lvlJc w:val="right"/>
      <w:pPr>
        <w:tabs>
          <w:tab w:val="left" w:pos="2940"/>
        </w:tabs>
        <w:ind w:left="2940" w:hanging="420"/>
      </w:pPr>
      <w:rPr>
        <w:rFonts w:cs="Times New Roman"/>
      </w:rPr>
    </w:lvl>
    <w:lvl w:ilvl="6" w:tentative="0">
      <w:start w:val="1"/>
      <w:numFmt w:val="decimal"/>
      <w:lvlText w:val="%7."/>
      <w:lvlJc w:val="left"/>
      <w:pPr>
        <w:tabs>
          <w:tab w:val="left" w:pos="3360"/>
        </w:tabs>
        <w:ind w:left="3360" w:hanging="420"/>
      </w:pPr>
      <w:rPr>
        <w:rFonts w:cs="Times New Roman"/>
      </w:rPr>
    </w:lvl>
    <w:lvl w:ilvl="7" w:tentative="0">
      <w:start w:val="1"/>
      <w:numFmt w:val="lowerLetter"/>
      <w:lvlText w:val="%8)"/>
      <w:lvlJc w:val="left"/>
      <w:pPr>
        <w:tabs>
          <w:tab w:val="left" w:pos="3780"/>
        </w:tabs>
        <w:ind w:left="3780" w:hanging="420"/>
      </w:pPr>
      <w:rPr>
        <w:rFonts w:cs="Times New Roman"/>
      </w:rPr>
    </w:lvl>
    <w:lvl w:ilvl="8" w:tentative="0">
      <w:start w:val="1"/>
      <w:numFmt w:val="lowerRoman"/>
      <w:lvlText w:val="%9."/>
      <w:lvlJc w:val="right"/>
      <w:pPr>
        <w:tabs>
          <w:tab w:val="left" w:pos="4200"/>
        </w:tabs>
        <w:ind w:left="4200" w:hanging="420"/>
      </w:pPr>
      <w:rPr>
        <w:rFonts w:cs="Times New Roman"/>
      </w:rPr>
    </w:lvl>
  </w:abstractNum>
  <w:abstractNum w:abstractNumId="1">
    <w:nsid w:val="4FE36F1A"/>
    <w:multiLevelType w:val="multilevel"/>
    <w:tmpl w:val="4FE36F1A"/>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58FF0CBF"/>
    <w:multiLevelType w:val="singleLevel"/>
    <w:tmpl w:val="58FF0CBF"/>
    <w:lvl w:ilvl="0" w:tentative="0">
      <w:start w:val="1"/>
      <w:numFmt w:val="decimal"/>
      <w:suff w:val="nothing"/>
      <w:lvlText w:val="%1、"/>
      <w:lvlJc w:val="left"/>
      <w:rPr>
        <w:rFonts w:cs="Times New Roman"/>
      </w:rPr>
    </w:lvl>
  </w:abstractNum>
  <w:abstractNum w:abstractNumId="3">
    <w:nsid w:val="5901DA61"/>
    <w:multiLevelType w:val="singleLevel"/>
    <w:tmpl w:val="5901DA61"/>
    <w:lvl w:ilvl="0" w:tentative="0">
      <w:start w:val="4"/>
      <w:numFmt w:val="chineseCounting"/>
      <w:suff w:val="nothing"/>
      <w:lvlText w:val="（%1）"/>
      <w:lvlJc w:val="left"/>
      <w:rPr>
        <w:rFonts w:cs="Times New Roman"/>
      </w:rPr>
    </w:lvl>
  </w:abstractNum>
  <w:abstractNum w:abstractNumId="4">
    <w:nsid w:val="59780FCE"/>
    <w:multiLevelType w:val="singleLevel"/>
    <w:tmpl w:val="59780FCE"/>
    <w:lvl w:ilvl="0" w:tentative="0">
      <w:start w:val="2"/>
      <w:numFmt w:val="decimal"/>
      <w:suff w:val="nothing"/>
      <w:lvlText w:val="%1、"/>
      <w:lvlJc w:val="left"/>
      <w:rPr>
        <w:rFonts w:cs="Times New Roman"/>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B8C"/>
    <w:rsid w:val="00000BB9"/>
    <w:rsid w:val="0000252B"/>
    <w:rsid w:val="00004827"/>
    <w:rsid w:val="00004A10"/>
    <w:rsid w:val="00007571"/>
    <w:rsid w:val="00013816"/>
    <w:rsid w:val="00015DB5"/>
    <w:rsid w:val="00020221"/>
    <w:rsid w:val="00020B13"/>
    <w:rsid w:val="0002369F"/>
    <w:rsid w:val="00024368"/>
    <w:rsid w:val="000266C5"/>
    <w:rsid w:val="00036774"/>
    <w:rsid w:val="000367DF"/>
    <w:rsid w:val="00036936"/>
    <w:rsid w:val="000408F4"/>
    <w:rsid w:val="0004382A"/>
    <w:rsid w:val="0004570D"/>
    <w:rsid w:val="00045B83"/>
    <w:rsid w:val="0005198D"/>
    <w:rsid w:val="00051FEB"/>
    <w:rsid w:val="000534A3"/>
    <w:rsid w:val="00053589"/>
    <w:rsid w:val="000571BC"/>
    <w:rsid w:val="00061457"/>
    <w:rsid w:val="00061852"/>
    <w:rsid w:val="00065455"/>
    <w:rsid w:val="000659F1"/>
    <w:rsid w:val="00072E90"/>
    <w:rsid w:val="00073C4D"/>
    <w:rsid w:val="000750FC"/>
    <w:rsid w:val="00075740"/>
    <w:rsid w:val="00080033"/>
    <w:rsid w:val="00094772"/>
    <w:rsid w:val="00095C20"/>
    <w:rsid w:val="000964EB"/>
    <w:rsid w:val="000971BE"/>
    <w:rsid w:val="0009797C"/>
    <w:rsid w:val="000A4F2D"/>
    <w:rsid w:val="000A508E"/>
    <w:rsid w:val="000A5B60"/>
    <w:rsid w:val="000A7733"/>
    <w:rsid w:val="000B14B8"/>
    <w:rsid w:val="000B495F"/>
    <w:rsid w:val="000B56E3"/>
    <w:rsid w:val="000B587C"/>
    <w:rsid w:val="000B6197"/>
    <w:rsid w:val="000B65B3"/>
    <w:rsid w:val="000B7F2D"/>
    <w:rsid w:val="000C3006"/>
    <w:rsid w:val="000C32AC"/>
    <w:rsid w:val="000C62EB"/>
    <w:rsid w:val="000D087F"/>
    <w:rsid w:val="000D2BB8"/>
    <w:rsid w:val="000D318B"/>
    <w:rsid w:val="000D31FD"/>
    <w:rsid w:val="000D4954"/>
    <w:rsid w:val="000D64B3"/>
    <w:rsid w:val="000E5186"/>
    <w:rsid w:val="000F18DF"/>
    <w:rsid w:val="000F3E8C"/>
    <w:rsid w:val="000F5940"/>
    <w:rsid w:val="001011A9"/>
    <w:rsid w:val="00101E2A"/>
    <w:rsid w:val="0010672B"/>
    <w:rsid w:val="0013087B"/>
    <w:rsid w:val="00131E65"/>
    <w:rsid w:val="00132C23"/>
    <w:rsid w:val="0013531C"/>
    <w:rsid w:val="001366CA"/>
    <w:rsid w:val="001428AE"/>
    <w:rsid w:val="00144F49"/>
    <w:rsid w:val="001541EC"/>
    <w:rsid w:val="001543EE"/>
    <w:rsid w:val="00157253"/>
    <w:rsid w:val="00161AA0"/>
    <w:rsid w:val="00162210"/>
    <w:rsid w:val="00164A05"/>
    <w:rsid w:val="001748E1"/>
    <w:rsid w:val="001775A1"/>
    <w:rsid w:val="00180D5E"/>
    <w:rsid w:val="001835B2"/>
    <w:rsid w:val="0018408C"/>
    <w:rsid w:val="0018679F"/>
    <w:rsid w:val="00196DC0"/>
    <w:rsid w:val="001A044E"/>
    <w:rsid w:val="001A1652"/>
    <w:rsid w:val="001A70D7"/>
    <w:rsid w:val="001A7FB2"/>
    <w:rsid w:val="001C06A3"/>
    <w:rsid w:val="001C0757"/>
    <w:rsid w:val="001C5BC4"/>
    <w:rsid w:val="001C714D"/>
    <w:rsid w:val="001C7D06"/>
    <w:rsid w:val="001D39A1"/>
    <w:rsid w:val="001D76EC"/>
    <w:rsid w:val="001E1F61"/>
    <w:rsid w:val="001E230B"/>
    <w:rsid w:val="001E7AE1"/>
    <w:rsid w:val="001F25AF"/>
    <w:rsid w:val="001F5103"/>
    <w:rsid w:val="0020152A"/>
    <w:rsid w:val="00201826"/>
    <w:rsid w:val="002030A0"/>
    <w:rsid w:val="002037DA"/>
    <w:rsid w:val="00203F59"/>
    <w:rsid w:val="002067CA"/>
    <w:rsid w:val="00210166"/>
    <w:rsid w:val="00212904"/>
    <w:rsid w:val="002142C2"/>
    <w:rsid w:val="0022010F"/>
    <w:rsid w:val="0022338C"/>
    <w:rsid w:val="00225501"/>
    <w:rsid w:val="00231781"/>
    <w:rsid w:val="00236EFF"/>
    <w:rsid w:val="00243021"/>
    <w:rsid w:val="00245BD5"/>
    <w:rsid w:val="00250DDA"/>
    <w:rsid w:val="00252048"/>
    <w:rsid w:val="0025401B"/>
    <w:rsid w:val="00261A8C"/>
    <w:rsid w:val="00266369"/>
    <w:rsid w:val="00273918"/>
    <w:rsid w:val="00273FF7"/>
    <w:rsid w:val="0027421D"/>
    <w:rsid w:val="00274533"/>
    <w:rsid w:val="002768F5"/>
    <w:rsid w:val="00277981"/>
    <w:rsid w:val="00282AE6"/>
    <w:rsid w:val="00283503"/>
    <w:rsid w:val="00285C66"/>
    <w:rsid w:val="00290BAA"/>
    <w:rsid w:val="00291237"/>
    <w:rsid w:val="00295B06"/>
    <w:rsid w:val="00297547"/>
    <w:rsid w:val="002A0C11"/>
    <w:rsid w:val="002A3DCF"/>
    <w:rsid w:val="002A4578"/>
    <w:rsid w:val="002A7F0E"/>
    <w:rsid w:val="002B1B55"/>
    <w:rsid w:val="002B35B6"/>
    <w:rsid w:val="002B57F5"/>
    <w:rsid w:val="002B6755"/>
    <w:rsid w:val="002B7FB5"/>
    <w:rsid w:val="002C3689"/>
    <w:rsid w:val="002C374D"/>
    <w:rsid w:val="002C4AA3"/>
    <w:rsid w:val="002D1401"/>
    <w:rsid w:val="002D393C"/>
    <w:rsid w:val="002D3FA3"/>
    <w:rsid w:val="002D5EB4"/>
    <w:rsid w:val="002E42CB"/>
    <w:rsid w:val="002E5CC5"/>
    <w:rsid w:val="002F059D"/>
    <w:rsid w:val="002F3772"/>
    <w:rsid w:val="002F64D9"/>
    <w:rsid w:val="002F6DE5"/>
    <w:rsid w:val="00301B46"/>
    <w:rsid w:val="00301BA2"/>
    <w:rsid w:val="003079CB"/>
    <w:rsid w:val="00310771"/>
    <w:rsid w:val="00312922"/>
    <w:rsid w:val="00312E35"/>
    <w:rsid w:val="00317B14"/>
    <w:rsid w:val="00321406"/>
    <w:rsid w:val="003235F8"/>
    <w:rsid w:val="00324CBB"/>
    <w:rsid w:val="003273D1"/>
    <w:rsid w:val="003357B1"/>
    <w:rsid w:val="003365CD"/>
    <w:rsid w:val="00337535"/>
    <w:rsid w:val="00337C9E"/>
    <w:rsid w:val="00343B37"/>
    <w:rsid w:val="00345D19"/>
    <w:rsid w:val="00352415"/>
    <w:rsid w:val="00353404"/>
    <w:rsid w:val="003569F8"/>
    <w:rsid w:val="00357AE8"/>
    <w:rsid w:val="00360511"/>
    <w:rsid w:val="003618E7"/>
    <w:rsid w:val="00365BF3"/>
    <w:rsid w:val="003802F6"/>
    <w:rsid w:val="00384652"/>
    <w:rsid w:val="003860AE"/>
    <w:rsid w:val="00386C48"/>
    <w:rsid w:val="00387FEA"/>
    <w:rsid w:val="0039002D"/>
    <w:rsid w:val="003918C9"/>
    <w:rsid w:val="003A0B8C"/>
    <w:rsid w:val="003B29E6"/>
    <w:rsid w:val="003B5B38"/>
    <w:rsid w:val="003B7750"/>
    <w:rsid w:val="003C1AD6"/>
    <w:rsid w:val="003C224C"/>
    <w:rsid w:val="003D10BA"/>
    <w:rsid w:val="003D7517"/>
    <w:rsid w:val="003E5255"/>
    <w:rsid w:val="003E7C33"/>
    <w:rsid w:val="00407B55"/>
    <w:rsid w:val="00410AC2"/>
    <w:rsid w:val="00410DEA"/>
    <w:rsid w:val="00412112"/>
    <w:rsid w:val="0041276B"/>
    <w:rsid w:val="00421F43"/>
    <w:rsid w:val="00422591"/>
    <w:rsid w:val="00425FFC"/>
    <w:rsid w:val="00426286"/>
    <w:rsid w:val="00427E8C"/>
    <w:rsid w:val="00432F62"/>
    <w:rsid w:val="0043463F"/>
    <w:rsid w:val="00435E40"/>
    <w:rsid w:val="00440CFA"/>
    <w:rsid w:val="00442755"/>
    <w:rsid w:val="0044702A"/>
    <w:rsid w:val="00454377"/>
    <w:rsid w:val="004547B8"/>
    <w:rsid w:val="004714FA"/>
    <w:rsid w:val="0047189B"/>
    <w:rsid w:val="00472225"/>
    <w:rsid w:val="00474A38"/>
    <w:rsid w:val="0047577D"/>
    <w:rsid w:val="00476081"/>
    <w:rsid w:val="004828E1"/>
    <w:rsid w:val="00482F67"/>
    <w:rsid w:val="004919DE"/>
    <w:rsid w:val="00492BD2"/>
    <w:rsid w:val="004A1F09"/>
    <w:rsid w:val="004A57B1"/>
    <w:rsid w:val="004A5AC1"/>
    <w:rsid w:val="004A622D"/>
    <w:rsid w:val="004B5867"/>
    <w:rsid w:val="004B79B3"/>
    <w:rsid w:val="004C0094"/>
    <w:rsid w:val="004C1EA3"/>
    <w:rsid w:val="004C690F"/>
    <w:rsid w:val="004D6227"/>
    <w:rsid w:val="004D6A8F"/>
    <w:rsid w:val="004E649F"/>
    <w:rsid w:val="004F0410"/>
    <w:rsid w:val="004F16F1"/>
    <w:rsid w:val="004F37A0"/>
    <w:rsid w:val="0050228D"/>
    <w:rsid w:val="00510D70"/>
    <w:rsid w:val="00511227"/>
    <w:rsid w:val="005120AF"/>
    <w:rsid w:val="00514F3C"/>
    <w:rsid w:val="00517DE3"/>
    <w:rsid w:val="00520583"/>
    <w:rsid w:val="00521725"/>
    <w:rsid w:val="00522FD6"/>
    <w:rsid w:val="0052471B"/>
    <w:rsid w:val="00524BDC"/>
    <w:rsid w:val="00525850"/>
    <w:rsid w:val="00525E18"/>
    <w:rsid w:val="00525FD0"/>
    <w:rsid w:val="00531F9F"/>
    <w:rsid w:val="00534E23"/>
    <w:rsid w:val="0053521F"/>
    <w:rsid w:val="0053527D"/>
    <w:rsid w:val="00540C81"/>
    <w:rsid w:val="0055092C"/>
    <w:rsid w:val="00562C13"/>
    <w:rsid w:val="00565EA2"/>
    <w:rsid w:val="0057318D"/>
    <w:rsid w:val="00573EF1"/>
    <w:rsid w:val="00573F10"/>
    <w:rsid w:val="00583CAB"/>
    <w:rsid w:val="005849B5"/>
    <w:rsid w:val="00584C5D"/>
    <w:rsid w:val="00587CFD"/>
    <w:rsid w:val="00592D28"/>
    <w:rsid w:val="005944F9"/>
    <w:rsid w:val="00594AFA"/>
    <w:rsid w:val="005972B3"/>
    <w:rsid w:val="005B3239"/>
    <w:rsid w:val="005B36E8"/>
    <w:rsid w:val="005B3F2D"/>
    <w:rsid w:val="005B40A9"/>
    <w:rsid w:val="005C2A25"/>
    <w:rsid w:val="005C60BF"/>
    <w:rsid w:val="005D00D4"/>
    <w:rsid w:val="005D0D48"/>
    <w:rsid w:val="005D3668"/>
    <w:rsid w:val="005D4027"/>
    <w:rsid w:val="005D7554"/>
    <w:rsid w:val="005E05FA"/>
    <w:rsid w:val="005F26AB"/>
    <w:rsid w:val="005F2C8E"/>
    <w:rsid w:val="006069DB"/>
    <w:rsid w:val="006113D5"/>
    <w:rsid w:val="006121C0"/>
    <w:rsid w:val="00613B80"/>
    <w:rsid w:val="00615E67"/>
    <w:rsid w:val="00621889"/>
    <w:rsid w:val="006226CE"/>
    <w:rsid w:val="00623732"/>
    <w:rsid w:val="00624143"/>
    <w:rsid w:val="00624707"/>
    <w:rsid w:val="00625C97"/>
    <w:rsid w:val="00626ACC"/>
    <w:rsid w:val="00626B51"/>
    <w:rsid w:val="00630210"/>
    <w:rsid w:val="00630D2F"/>
    <w:rsid w:val="0063137F"/>
    <w:rsid w:val="00631826"/>
    <w:rsid w:val="00632E02"/>
    <w:rsid w:val="00632F61"/>
    <w:rsid w:val="00635F3E"/>
    <w:rsid w:val="00636952"/>
    <w:rsid w:val="006402FB"/>
    <w:rsid w:val="006413FA"/>
    <w:rsid w:val="00641887"/>
    <w:rsid w:val="00643B40"/>
    <w:rsid w:val="0064406C"/>
    <w:rsid w:val="00646BFB"/>
    <w:rsid w:val="00661FEC"/>
    <w:rsid w:val="00683614"/>
    <w:rsid w:val="00685B82"/>
    <w:rsid w:val="00686D55"/>
    <w:rsid w:val="006919C0"/>
    <w:rsid w:val="00695A7D"/>
    <w:rsid w:val="00697F75"/>
    <w:rsid w:val="006A189F"/>
    <w:rsid w:val="006A38D7"/>
    <w:rsid w:val="006A45E0"/>
    <w:rsid w:val="006B077B"/>
    <w:rsid w:val="006B74FE"/>
    <w:rsid w:val="006C4307"/>
    <w:rsid w:val="006C6A63"/>
    <w:rsid w:val="006D38D0"/>
    <w:rsid w:val="006D6993"/>
    <w:rsid w:val="006D6FDE"/>
    <w:rsid w:val="006D7009"/>
    <w:rsid w:val="006D7176"/>
    <w:rsid w:val="006E33BC"/>
    <w:rsid w:val="006E4162"/>
    <w:rsid w:val="006E6880"/>
    <w:rsid w:val="006E6FAE"/>
    <w:rsid w:val="006F09DE"/>
    <w:rsid w:val="006F0CA8"/>
    <w:rsid w:val="0070008E"/>
    <w:rsid w:val="00702734"/>
    <w:rsid w:val="007032FF"/>
    <w:rsid w:val="00703768"/>
    <w:rsid w:val="00705FC4"/>
    <w:rsid w:val="0070770D"/>
    <w:rsid w:val="00711D8E"/>
    <w:rsid w:val="007137D0"/>
    <w:rsid w:val="007174AA"/>
    <w:rsid w:val="007243D3"/>
    <w:rsid w:val="00725542"/>
    <w:rsid w:val="00725E43"/>
    <w:rsid w:val="00727B34"/>
    <w:rsid w:val="00731FD5"/>
    <w:rsid w:val="00736B31"/>
    <w:rsid w:val="007436B1"/>
    <w:rsid w:val="00743750"/>
    <w:rsid w:val="00745C36"/>
    <w:rsid w:val="007466D3"/>
    <w:rsid w:val="007508F2"/>
    <w:rsid w:val="00751985"/>
    <w:rsid w:val="00752438"/>
    <w:rsid w:val="00755D99"/>
    <w:rsid w:val="007631FC"/>
    <w:rsid w:val="007713B5"/>
    <w:rsid w:val="007822F6"/>
    <w:rsid w:val="007846C3"/>
    <w:rsid w:val="00785A2A"/>
    <w:rsid w:val="00785C13"/>
    <w:rsid w:val="007A4980"/>
    <w:rsid w:val="007B0D2C"/>
    <w:rsid w:val="007B1257"/>
    <w:rsid w:val="007B12CA"/>
    <w:rsid w:val="007B2D3C"/>
    <w:rsid w:val="007B3FE1"/>
    <w:rsid w:val="007B71FB"/>
    <w:rsid w:val="007C5D9E"/>
    <w:rsid w:val="007C7874"/>
    <w:rsid w:val="007D10E8"/>
    <w:rsid w:val="007E0709"/>
    <w:rsid w:val="007E3A07"/>
    <w:rsid w:val="007E7A8B"/>
    <w:rsid w:val="007E7FE7"/>
    <w:rsid w:val="007F455B"/>
    <w:rsid w:val="008022FD"/>
    <w:rsid w:val="008061E2"/>
    <w:rsid w:val="00806779"/>
    <w:rsid w:val="00807CC8"/>
    <w:rsid w:val="00812D63"/>
    <w:rsid w:val="00816358"/>
    <w:rsid w:val="00820AC5"/>
    <w:rsid w:val="0082464B"/>
    <w:rsid w:val="00824D6B"/>
    <w:rsid w:val="008263C3"/>
    <w:rsid w:val="00840804"/>
    <w:rsid w:val="00845BF1"/>
    <w:rsid w:val="008530D4"/>
    <w:rsid w:val="0085698A"/>
    <w:rsid w:val="008577B3"/>
    <w:rsid w:val="00861346"/>
    <w:rsid w:val="00862579"/>
    <w:rsid w:val="00862B70"/>
    <w:rsid w:val="00866722"/>
    <w:rsid w:val="00870A29"/>
    <w:rsid w:val="00871A92"/>
    <w:rsid w:val="00875899"/>
    <w:rsid w:val="00877A52"/>
    <w:rsid w:val="00881BAD"/>
    <w:rsid w:val="00881EE5"/>
    <w:rsid w:val="00885B4C"/>
    <w:rsid w:val="008866A7"/>
    <w:rsid w:val="008A4264"/>
    <w:rsid w:val="008A4B6A"/>
    <w:rsid w:val="008B395F"/>
    <w:rsid w:val="008C09D5"/>
    <w:rsid w:val="008C215D"/>
    <w:rsid w:val="008C23BB"/>
    <w:rsid w:val="008C5A97"/>
    <w:rsid w:val="008D23D4"/>
    <w:rsid w:val="008D3F3D"/>
    <w:rsid w:val="008E0372"/>
    <w:rsid w:val="008E3B58"/>
    <w:rsid w:val="008F254A"/>
    <w:rsid w:val="008F3F86"/>
    <w:rsid w:val="008F513E"/>
    <w:rsid w:val="008F5A96"/>
    <w:rsid w:val="008F7047"/>
    <w:rsid w:val="00901616"/>
    <w:rsid w:val="00905D13"/>
    <w:rsid w:val="0090619E"/>
    <w:rsid w:val="00907C02"/>
    <w:rsid w:val="0092072D"/>
    <w:rsid w:val="00920DF4"/>
    <w:rsid w:val="00922651"/>
    <w:rsid w:val="009244D3"/>
    <w:rsid w:val="009272BC"/>
    <w:rsid w:val="00935E38"/>
    <w:rsid w:val="00940791"/>
    <w:rsid w:val="00942222"/>
    <w:rsid w:val="0094452B"/>
    <w:rsid w:val="00944D49"/>
    <w:rsid w:val="0094765D"/>
    <w:rsid w:val="00954191"/>
    <w:rsid w:val="009562E0"/>
    <w:rsid w:val="00960711"/>
    <w:rsid w:val="00961DB9"/>
    <w:rsid w:val="0096385E"/>
    <w:rsid w:val="00964670"/>
    <w:rsid w:val="00970028"/>
    <w:rsid w:val="009803EA"/>
    <w:rsid w:val="009829B4"/>
    <w:rsid w:val="00990A82"/>
    <w:rsid w:val="00995A24"/>
    <w:rsid w:val="009A30D6"/>
    <w:rsid w:val="009A6615"/>
    <w:rsid w:val="009B0129"/>
    <w:rsid w:val="009B23CB"/>
    <w:rsid w:val="009B5186"/>
    <w:rsid w:val="009C33BE"/>
    <w:rsid w:val="009C3E77"/>
    <w:rsid w:val="009D1753"/>
    <w:rsid w:val="009D22F3"/>
    <w:rsid w:val="009D3E69"/>
    <w:rsid w:val="009D7F58"/>
    <w:rsid w:val="009E1441"/>
    <w:rsid w:val="009E1CA0"/>
    <w:rsid w:val="009E5EF6"/>
    <w:rsid w:val="009F4562"/>
    <w:rsid w:val="009F4E10"/>
    <w:rsid w:val="009F7EE8"/>
    <w:rsid w:val="00A066FB"/>
    <w:rsid w:val="00A13760"/>
    <w:rsid w:val="00A14291"/>
    <w:rsid w:val="00A22042"/>
    <w:rsid w:val="00A22E5D"/>
    <w:rsid w:val="00A23071"/>
    <w:rsid w:val="00A23275"/>
    <w:rsid w:val="00A239D7"/>
    <w:rsid w:val="00A23B55"/>
    <w:rsid w:val="00A25CE7"/>
    <w:rsid w:val="00A264F4"/>
    <w:rsid w:val="00A31F9D"/>
    <w:rsid w:val="00A33867"/>
    <w:rsid w:val="00A34A2F"/>
    <w:rsid w:val="00A36E4A"/>
    <w:rsid w:val="00A40DE3"/>
    <w:rsid w:val="00A415B9"/>
    <w:rsid w:val="00A45AEC"/>
    <w:rsid w:val="00A50B8C"/>
    <w:rsid w:val="00A51D08"/>
    <w:rsid w:val="00A527FD"/>
    <w:rsid w:val="00A53F2B"/>
    <w:rsid w:val="00A552B9"/>
    <w:rsid w:val="00A65311"/>
    <w:rsid w:val="00A7207F"/>
    <w:rsid w:val="00A72DB7"/>
    <w:rsid w:val="00A75025"/>
    <w:rsid w:val="00A814BF"/>
    <w:rsid w:val="00A834ED"/>
    <w:rsid w:val="00A837A8"/>
    <w:rsid w:val="00A93325"/>
    <w:rsid w:val="00A9597E"/>
    <w:rsid w:val="00AA08DF"/>
    <w:rsid w:val="00AA4BB6"/>
    <w:rsid w:val="00AA537E"/>
    <w:rsid w:val="00AB0AC4"/>
    <w:rsid w:val="00AB2C9C"/>
    <w:rsid w:val="00AC4C29"/>
    <w:rsid w:val="00AC6166"/>
    <w:rsid w:val="00AC776D"/>
    <w:rsid w:val="00AD127D"/>
    <w:rsid w:val="00AD4A77"/>
    <w:rsid w:val="00AD67D8"/>
    <w:rsid w:val="00AE10DB"/>
    <w:rsid w:val="00AE5914"/>
    <w:rsid w:val="00AE64A0"/>
    <w:rsid w:val="00AE71F1"/>
    <w:rsid w:val="00AE7C0E"/>
    <w:rsid w:val="00AF31CA"/>
    <w:rsid w:val="00AF3DB8"/>
    <w:rsid w:val="00AF5947"/>
    <w:rsid w:val="00AF7644"/>
    <w:rsid w:val="00B0558F"/>
    <w:rsid w:val="00B106A8"/>
    <w:rsid w:val="00B11DA7"/>
    <w:rsid w:val="00B162AA"/>
    <w:rsid w:val="00B2099A"/>
    <w:rsid w:val="00B214E2"/>
    <w:rsid w:val="00B22F50"/>
    <w:rsid w:val="00B2345B"/>
    <w:rsid w:val="00B2475B"/>
    <w:rsid w:val="00B269B1"/>
    <w:rsid w:val="00B2762A"/>
    <w:rsid w:val="00B31F63"/>
    <w:rsid w:val="00B33752"/>
    <w:rsid w:val="00B433E3"/>
    <w:rsid w:val="00B4436F"/>
    <w:rsid w:val="00B45E67"/>
    <w:rsid w:val="00B478E1"/>
    <w:rsid w:val="00B60CB7"/>
    <w:rsid w:val="00B67D3C"/>
    <w:rsid w:val="00B7055D"/>
    <w:rsid w:val="00B70CD6"/>
    <w:rsid w:val="00B71F6E"/>
    <w:rsid w:val="00B73AB5"/>
    <w:rsid w:val="00B7410F"/>
    <w:rsid w:val="00B76CA5"/>
    <w:rsid w:val="00B84841"/>
    <w:rsid w:val="00B84C01"/>
    <w:rsid w:val="00B87D4F"/>
    <w:rsid w:val="00B95B47"/>
    <w:rsid w:val="00B95D14"/>
    <w:rsid w:val="00B969AE"/>
    <w:rsid w:val="00B97A53"/>
    <w:rsid w:val="00BA0A03"/>
    <w:rsid w:val="00BB2183"/>
    <w:rsid w:val="00BC16D5"/>
    <w:rsid w:val="00BC36C6"/>
    <w:rsid w:val="00BC50A6"/>
    <w:rsid w:val="00BC6183"/>
    <w:rsid w:val="00BC67E6"/>
    <w:rsid w:val="00BD66AB"/>
    <w:rsid w:val="00BD77FE"/>
    <w:rsid w:val="00BD7CCE"/>
    <w:rsid w:val="00BE3744"/>
    <w:rsid w:val="00BE4D2E"/>
    <w:rsid w:val="00BF5D88"/>
    <w:rsid w:val="00C0776F"/>
    <w:rsid w:val="00C100E7"/>
    <w:rsid w:val="00C1052D"/>
    <w:rsid w:val="00C27F88"/>
    <w:rsid w:val="00C3230C"/>
    <w:rsid w:val="00C329E5"/>
    <w:rsid w:val="00C350DC"/>
    <w:rsid w:val="00C40E6A"/>
    <w:rsid w:val="00C44440"/>
    <w:rsid w:val="00C47239"/>
    <w:rsid w:val="00C60FC8"/>
    <w:rsid w:val="00C616F2"/>
    <w:rsid w:val="00C62086"/>
    <w:rsid w:val="00C66B5D"/>
    <w:rsid w:val="00C673FF"/>
    <w:rsid w:val="00C73CCC"/>
    <w:rsid w:val="00C757AA"/>
    <w:rsid w:val="00C84A39"/>
    <w:rsid w:val="00C961F1"/>
    <w:rsid w:val="00CA2F5E"/>
    <w:rsid w:val="00CA6484"/>
    <w:rsid w:val="00CB2441"/>
    <w:rsid w:val="00CB7AD6"/>
    <w:rsid w:val="00CD2874"/>
    <w:rsid w:val="00CD2A8E"/>
    <w:rsid w:val="00CD4F19"/>
    <w:rsid w:val="00CD6AA9"/>
    <w:rsid w:val="00CD6EFC"/>
    <w:rsid w:val="00CE210A"/>
    <w:rsid w:val="00CE271E"/>
    <w:rsid w:val="00CE2E6B"/>
    <w:rsid w:val="00CE32B0"/>
    <w:rsid w:val="00CF2B35"/>
    <w:rsid w:val="00CF5B90"/>
    <w:rsid w:val="00CF7001"/>
    <w:rsid w:val="00CF7279"/>
    <w:rsid w:val="00CF7850"/>
    <w:rsid w:val="00D019DC"/>
    <w:rsid w:val="00D02321"/>
    <w:rsid w:val="00D03575"/>
    <w:rsid w:val="00D07B02"/>
    <w:rsid w:val="00D12D7D"/>
    <w:rsid w:val="00D144FF"/>
    <w:rsid w:val="00D14687"/>
    <w:rsid w:val="00D14E7D"/>
    <w:rsid w:val="00D216EE"/>
    <w:rsid w:val="00D21E32"/>
    <w:rsid w:val="00D22E98"/>
    <w:rsid w:val="00D238CD"/>
    <w:rsid w:val="00D24A7A"/>
    <w:rsid w:val="00D372D8"/>
    <w:rsid w:val="00D44EF8"/>
    <w:rsid w:val="00D526A5"/>
    <w:rsid w:val="00D625A2"/>
    <w:rsid w:val="00D638D4"/>
    <w:rsid w:val="00D717D7"/>
    <w:rsid w:val="00D7609A"/>
    <w:rsid w:val="00D8312D"/>
    <w:rsid w:val="00D83724"/>
    <w:rsid w:val="00D9172F"/>
    <w:rsid w:val="00D9395D"/>
    <w:rsid w:val="00D9570C"/>
    <w:rsid w:val="00D9632F"/>
    <w:rsid w:val="00D97845"/>
    <w:rsid w:val="00DA3C55"/>
    <w:rsid w:val="00DA3D0C"/>
    <w:rsid w:val="00DB0EA7"/>
    <w:rsid w:val="00DB48E8"/>
    <w:rsid w:val="00DB55AC"/>
    <w:rsid w:val="00DC0D43"/>
    <w:rsid w:val="00DD36F7"/>
    <w:rsid w:val="00DD5450"/>
    <w:rsid w:val="00DD6EA7"/>
    <w:rsid w:val="00DD7011"/>
    <w:rsid w:val="00DE1FD9"/>
    <w:rsid w:val="00DE69BF"/>
    <w:rsid w:val="00DF43F8"/>
    <w:rsid w:val="00DF7080"/>
    <w:rsid w:val="00E010E2"/>
    <w:rsid w:val="00E032D1"/>
    <w:rsid w:val="00E03C67"/>
    <w:rsid w:val="00E1058E"/>
    <w:rsid w:val="00E124EF"/>
    <w:rsid w:val="00E30028"/>
    <w:rsid w:val="00E30D0B"/>
    <w:rsid w:val="00E324D7"/>
    <w:rsid w:val="00E42A20"/>
    <w:rsid w:val="00E570CF"/>
    <w:rsid w:val="00E609E4"/>
    <w:rsid w:val="00E60D7B"/>
    <w:rsid w:val="00E60F75"/>
    <w:rsid w:val="00E63EDE"/>
    <w:rsid w:val="00E6757E"/>
    <w:rsid w:val="00E67919"/>
    <w:rsid w:val="00E8496E"/>
    <w:rsid w:val="00E86C1B"/>
    <w:rsid w:val="00E90058"/>
    <w:rsid w:val="00E919F1"/>
    <w:rsid w:val="00E93D87"/>
    <w:rsid w:val="00E97816"/>
    <w:rsid w:val="00EB0B16"/>
    <w:rsid w:val="00EB3207"/>
    <w:rsid w:val="00EC1743"/>
    <w:rsid w:val="00EC5D25"/>
    <w:rsid w:val="00ED2769"/>
    <w:rsid w:val="00ED7755"/>
    <w:rsid w:val="00EE1356"/>
    <w:rsid w:val="00EE2730"/>
    <w:rsid w:val="00EE4836"/>
    <w:rsid w:val="00EE534F"/>
    <w:rsid w:val="00EF0A0D"/>
    <w:rsid w:val="00EF1287"/>
    <w:rsid w:val="00EF2C50"/>
    <w:rsid w:val="00EF4834"/>
    <w:rsid w:val="00EF60A6"/>
    <w:rsid w:val="00F03560"/>
    <w:rsid w:val="00F03F0D"/>
    <w:rsid w:val="00F04249"/>
    <w:rsid w:val="00F14B93"/>
    <w:rsid w:val="00F165C0"/>
    <w:rsid w:val="00F216F1"/>
    <w:rsid w:val="00F2631E"/>
    <w:rsid w:val="00F462D0"/>
    <w:rsid w:val="00F463BB"/>
    <w:rsid w:val="00F51A9F"/>
    <w:rsid w:val="00F5345F"/>
    <w:rsid w:val="00F5432D"/>
    <w:rsid w:val="00F572BF"/>
    <w:rsid w:val="00F63493"/>
    <w:rsid w:val="00F73982"/>
    <w:rsid w:val="00F73D5A"/>
    <w:rsid w:val="00F747D9"/>
    <w:rsid w:val="00F80DA6"/>
    <w:rsid w:val="00F812BE"/>
    <w:rsid w:val="00F846D2"/>
    <w:rsid w:val="00F90E95"/>
    <w:rsid w:val="00F914BF"/>
    <w:rsid w:val="00F93A88"/>
    <w:rsid w:val="00F94AAF"/>
    <w:rsid w:val="00F965FD"/>
    <w:rsid w:val="00FA2B9C"/>
    <w:rsid w:val="00FA5CF2"/>
    <w:rsid w:val="00FB263C"/>
    <w:rsid w:val="00FB4D16"/>
    <w:rsid w:val="00FB6C68"/>
    <w:rsid w:val="00FC3B63"/>
    <w:rsid w:val="00FC5B79"/>
    <w:rsid w:val="00FD03C0"/>
    <w:rsid w:val="00FD2D72"/>
    <w:rsid w:val="00FD3109"/>
    <w:rsid w:val="00FD4275"/>
    <w:rsid w:val="00FD50C4"/>
    <w:rsid w:val="00FD776D"/>
    <w:rsid w:val="00FE025B"/>
    <w:rsid w:val="00FE1102"/>
    <w:rsid w:val="00FE2160"/>
    <w:rsid w:val="00FE683F"/>
    <w:rsid w:val="00FF6335"/>
    <w:rsid w:val="00FF74ED"/>
    <w:rsid w:val="00FF7844"/>
    <w:rsid w:val="01166FC8"/>
    <w:rsid w:val="01470EC9"/>
    <w:rsid w:val="024A7761"/>
    <w:rsid w:val="029C0EA7"/>
    <w:rsid w:val="036A4D92"/>
    <w:rsid w:val="03FF5BB5"/>
    <w:rsid w:val="0436500E"/>
    <w:rsid w:val="04616B43"/>
    <w:rsid w:val="04CE73D0"/>
    <w:rsid w:val="04D97D5D"/>
    <w:rsid w:val="04ED41E0"/>
    <w:rsid w:val="051F498C"/>
    <w:rsid w:val="05835D60"/>
    <w:rsid w:val="0607056F"/>
    <w:rsid w:val="0663372B"/>
    <w:rsid w:val="06AE528C"/>
    <w:rsid w:val="06CA78C6"/>
    <w:rsid w:val="074E5FEB"/>
    <w:rsid w:val="082A76E7"/>
    <w:rsid w:val="08630C81"/>
    <w:rsid w:val="092C04B7"/>
    <w:rsid w:val="09F777F7"/>
    <w:rsid w:val="0A020EEC"/>
    <w:rsid w:val="0B5D5C51"/>
    <w:rsid w:val="0B7B0582"/>
    <w:rsid w:val="0BC3389C"/>
    <w:rsid w:val="0BDC298B"/>
    <w:rsid w:val="0BE90180"/>
    <w:rsid w:val="0C083A31"/>
    <w:rsid w:val="0CAA10E4"/>
    <w:rsid w:val="0CEE7CB5"/>
    <w:rsid w:val="0CFC06C5"/>
    <w:rsid w:val="0D0B5479"/>
    <w:rsid w:val="0D1B326C"/>
    <w:rsid w:val="0D3D4C9A"/>
    <w:rsid w:val="0DA13006"/>
    <w:rsid w:val="0DA30062"/>
    <w:rsid w:val="0DB2294B"/>
    <w:rsid w:val="0E2210E9"/>
    <w:rsid w:val="0EEA2269"/>
    <w:rsid w:val="0F06244D"/>
    <w:rsid w:val="0F5A0433"/>
    <w:rsid w:val="0F5A605B"/>
    <w:rsid w:val="0F986D93"/>
    <w:rsid w:val="0FFA17AE"/>
    <w:rsid w:val="10436E53"/>
    <w:rsid w:val="106F2F45"/>
    <w:rsid w:val="11176CAC"/>
    <w:rsid w:val="116C26A0"/>
    <w:rsid w:val="11A8319A"/>
    <w:rsid w:val="12202B19"/>
    <w:rsid w:val="12A34B9B"/>
    <w:rsid w:val="12A651FF"/>
    <w:rsid w:val="13181C7B"/>
    <w:rsid w:val="13332467"/>
    <w:rsid w:val="14260778"/>
    <w:rsid w:val="147E132C"/>
    <w:rsid w:val="14BB22EB"/>
    <w:rsid w:val="14E251F5"/>
    <w:rsid w:val="159239C1"/>
    <w:rsid w:val="15F52B22"/>
    <w:rsid w:val="160910F0"/>
    <w:rsid w:val="16194EA3"/>
    <w:rsid w:val="16196C64"/>
    <w:rsid w:val="169A3D04"/>
    <w:rsid w:val="16BB7D74"/>
    <w:rsid w:val="16C571EB"/>
    <w:rsid w:val="16F66544"/>
    <w:rsid w:val="173B49E2"/>
    <w:rsid w:val="174418A4"/>
    <w:rsid w:val="17554F1F"/>
    <w:rsid w:val="176673AD"/>
    <w:rsid w:val="17711875"/>
    <w:rsid w:val="17AC55E6"/>
    <w:rsid w:val="18FA71DB"/>
    <w:rsid w:val="1988345A"/>
    <w:rsid w:val="19F13860"/>
    <w:rsid w:val="1A0F5CFF"/>
    <w:rsid w:val="1AA44AE6"/>
    <w:rsid w:val="1AC36212"/>
    <w:rsid w:val="1ADA074B"/>
    <w:rsid w:val="1B194AB9"/>
    <w:rsid w:val="1B472AF6"/>
    <w:rsid w:val="1B971BE7"/>
    <w:rsid w:val="1BAB0D9D"/>
    <w:rsid w:val="1C4704FE"/>
    <w:rsid w:val="1CB109D7"/>
    <w:rsid w:val="1CFC6A02"/>
    <w:rsid w:val="1D2D4B03"/>
    <w:rsid w:val="1D43106F"/>
    <w:rsid w:val="1D5062BB"/>
    <w:rsid w:val="1DA97BF6"/>
    <w:rsid w:val="1DCE4531"/>
    <w:rsid w:val="1EBD3134"/>
    <w:rsid w:val="1EDC238E"/>
    <w:rsid w:val="1F213B03"/>
    <w:rsid w:val="20F7080D"/>
    <w:rsid w:val="21573BF0"/>
    <w:rsid w:val="21BD76BD"/>
    <w:rsid w:val="21C075B9"/>
    <w:rsid w:val="21C51464"/>
    <w:rsid w:val="21E972F8"/>
    <w:rsid w:val="22316DC6"/>
    <w:rsid w:val="23010A12"/>
    <w:rsid w:val="23A11279"/>
    <w:rsid w:val="23B0558B"/>
    <w:rsid w:val="2400463D"/>
    <w:rsid w:val="244A5B3E"/>
    <w:rsid w:val="24624190"/>
    <w:rsid w:val="24DA273E"/>
    <w:rsid w:val="24EF0098"/>
    <w:rsid w:val="25243F63"/>
    <w:rsid w:val="252E5F0E"/>
    <w:rsid w:val="25837BE0"/>
    <w:rsid w:val="258F2AFC"/>
    <w:rsid w:val="26637644"/>
    <w:rsid w:val="2697790D"/>
    <w:rsid w:val="269C406C"/>
    <w:rsid w:val="26C86186"/>
    <w:rsid w:val="27AF451C"/>
    <w:rsid w:val="280B6D25"/>
    <w:rsid w:val="281F2457"/>
    <w:rsid w:val="291010D7"/>
    <w:rsid w:val="29322D7D"/>
    <w:rsid w:val="29813872"/>
    <w:rsid w:val="29C77486"/>
    <w:rsid w:val="2A002C00"/>
    <w:rsid w:val="2A9B4E0B"/>
    <w:rsid w:val="2AC639FE"/>
    <w:rsid w:val="2B240065"/>
    <w:rsid w:val="2B4E3093"/>
    <w:rsid w:val="2B857168"/>
    <w:rsid w:val="2B887DD2"/>
    <w:rsid w:val="2BB41305"/>
    <w:rsid w:val="2BF25D2F"/>
    <w:rsid w:val="2C326658"/>
    <w:rsid w:val="2C8278EE"/>
    <w:rsid w:val="2DB052DF"/>
    <w:rsid w:val="2DB618F1"/>
    <w:rsid w:val="2E574E5E"/>
    <w:rsid w:val="2E8B50BE"/>
    <w:rsid w:val="2EBD3104"/>
    <w:rsid w:val="2EDF581D"/>
    <w:rsid w:val="301553C8"/>
    <w:rsid w:val="30394787"/>
    <w:rsid w:val="30463727"/>
    <w:rsid w:val="30BE7420"/>
    <w:rsid w:val="314E1AC9"/>
    <w:rsid w:val="315E6030"/>
    <w:rsid w:val="31645C84"/>
    <w:rsid w:val="31B91EF4"/>
    <w:rsid w:val="31BB70DE"/>
    <w:rsid w:val="31BE48A1"/>
    <w:rsid w:val="31C51BB0"/>
    <w:rsid w:val="32450276"/>
    <w:rsid w:val="33205C51"/>
    <w:rsid w:val="33426B37"/>
    <w:rsid w:val="33B763EC"/>
    <w:rsid w:val="33C57292"/>
    <w:rsid w:val="33CA682A"/>
    <w:rsid w:val="33DB69C0"/>
    <w:rsid w:val="34152504"/>
    <w:rsid w:val="344B5CF0"/>
    <w:rsid w:val="34EB384C"/>
    <w:rsid w:val="35134E20"/>
    <w:rsid w:val="359F5F64"/>
    <w:rsid w:val="35EA261D"/>
    <w:rsid w:val="35FA0FB0"/>
    <w:rsid w:val="365F3DE9"/>
    <w:rsid w:val="36882D0F"/>
    <w:rsid w:val="369128E5"/>
    <w:rsid w:val="37586430"/>
    <w:rsid w:val="37924C9A"/>
    <w:rsid w:val="384136F5"/>
    <w:rsid w:val="39151551"/>
    <w:rsid w:val="39C22926"/>
    <w:rsid w:val="39EF61F8"/>
    <w:rsid w:val="39FA1AC2"/>
    <w:rsid w:val="3A514A13"/>
    <w:rsid w:val="3A96174B"/>
    <w:rsid w:val="3B054F05"/>
    <w:rsid w:val="3C2175AA"/>
    <w:rsid w:val="3C25335F"/>
    <w:rsid w:val="3C6A30D1"/>
    <w:rsid w:val="3CBD4651"/>
    <w:rsid w:val="3D020596"/>
    <w:rsid w:val="3D5C3547"/>
    <w:rsid w:val="3DF25C4C"/>
    <w:rsid w:val="3E2C4054"/>
    <w:rsid w:val="3EA7414F"/>
    <w:rsid w:val="41556B21"/>
    <w:rsid w:val="41B43591"/>
    <w:rsid w:val="41D431BB"/>
    <w:rsid w:val="41FF5849"/>
    <w:rsid w:val="420477FF"/>
    <w:rsid w:val="422A657F"/>
    <w:rsid w:val="425D60A7"/>
    <w:rsid w:val="42E466BA"/>
    <w:rsid w:val="43EC33D5"/>
    <w:rsid w:val="446749AC"/>
    <w:rsid w:val="448C3A7A"/>
    <w:rsid w:val="44AF4F34"/>
    <w:rsid w:val="458C59E4"/>
    <w:rsid w:val="45A07B4A"/>
    <w:rsid w:val="45A14535"/>
    <w:rsid w:val="45E07700"/>
    <w:rsid w:val="460429CE"/>
    <w:rsid w:val="462E10C7"/>
    <w:rsid w:val="470B4D53"/>
    <w:rsid w:val="471136EC"/>
    <w:rsid w:val="475973E4"/>
    <w:rsid w:val="47D06BCB"/>
    <w:rsid w:val="481C2457"/>
    <w:rsid w:val="482E023D"/>
    <w:rsid w:val="484C636C"/>
    <w:rsid w:val="48F625DC"/>
    <w:rsid w:val="48F97A1F"/>
    <w:rsid w:val="490D0C40"/>
    <w:rsid w:val="49476865"/>
    <w:rsid w:val="49B11532"/>
    <w:rsid w:val="49C945DD"/>
    <w:rsid w:val="4A023740"/>
    <w:rsid w:val="4A5E72E8"/>
    <w:rsid w:val="4A6F7E35"/>
    <w:rsid w:val="4BCF7578"/>
    <w:rsid w:val="4CD93590"/>
    <w:rsid w:val="4CDC0F6B"/>
    <w:rsid w:val="4CE727DF"/>
    <w:rsid w:val="4D17365F"/>
    <w:rsid w:val="4D2D180C"/>
    <w:rsid w:val="4D3C2AD8"/>
    <w:rsid w:val="4EB34C97"/>
    <w:rsid w:val="4F61102C"/>
    <w:rsid w:val="4F9E4191"/>
    <w:rsid w:val="4FA55FA2"/>
    <w:rsid w:val="50151E17"/>
    <w:rsid w:val="503E47ED"/>
    <w:rsid w:val="508008BC"/>
    <w:rsid w:val="50911DC2"/>
    <w:rsid w:val="50BF276B"/>
    <w:rsid w:val="50CB352D"/>
    <w:rsid w:val="50CB7C1D"/>
    <w:rsid w:val="50D23412"/>
    <w:rsid w:val="51025805"/>
    <w:rsid w:val="51592198"/>
    <w:rsid w:val="51F23F87"/>
    <w:rsid w:val="52E36C6B"/>
    <w:rsid w:val="533D24D0"/>
    <w:rsid w:val="536E6E06"/>
    <w:rsid w:val="53A96FED"/>
    <w:rsid w:val="546C768E"/>
    <w:rsid w:val="54D835E0"/>
    <w:rsid w:val="550C5DEC"/>
    <w:rsid w:val="55FA6D43"/>
    <w:rsid w:val="560D1A8B"/>
    <w:rsid w:val="56962647"/>
    <w:rsid w:val="56C57DF2"/>
    <w:rsid w:val="571B1AFE"/>
    <w:rsid w:val="58261BB1"/>
    <w:rsid w:val="582C0377"/>
    <w:rsid w:val="58820674"/>
    <w:rsid w:val="58977B2C"/>
    <w:rsid w:val="5953511C"/>
    <w:rsid w:val="5980045F"/>
    <w:rsid w:val="59C853FE"/>
    <w:rsid w:val="5A346B26"/>
    <w:rsid w:val="5B091517"/>
    <w:rsid w:val="5B0E7B3F"/>
    <w:rsid w:val="5BE75636"/>
    <w:rsid w:val="5C020CA9"/>
    <w:rsid w:val="5C1E1E06"/>
    <w:rsid w:val="5D633F10"/>
    <w:rsid w:val="5DC664C5"/>
    <w:rsid w:val="5E2B7834"/>
    <w:rsid w:val="5F2F6AC5"/>
    <w:rsid w:val="5F893720"/>
    <w:rsid w:val="5FD73EAD"/>
    <w:rsid w:val="5FFD43EA"/>
    <w:rsid w:val="60053CBD"/>
    <w:rsid w:val="600C7503"/>
    <w:rsid w:val="60291DF0"/>
    <w:rsid w:val="603230A1"/>
    <w:rsid w:val="608734D9"/>
    <w:rsid w:val="60A675C9"/>
    <w:rsid w:val="61295E85"/>
    <w:rsid w:val="614E70D1"/>
    <w:rsid w:val="61771EE8"/>
    <w:rsid w:val="62275B26"/>
    <w:rsid w:val="63C61DB4"/>
    <w:rsid w:val="63DA7854"/>
    <w:rsid w:val="63E007F8"/>
    <w:rsid w:val="6432144E"/>
    <w:rsid w:val="6455138C"/>
    <w:rsid w:val="64590F7B"/>
    <w:rsid w:val="64622BF3"/>
    <w:rsid w:val="64835D73"/>
    <w:rsid w:val="659E6B4B"/>
    <w:rsid w:val="66B60142"/>
    <w:rsid w:val="67885895"/>
    <w:rsid w:val="67DA190F"/>
    <w:rsid w:val="681266B3"/>
    <w:rsid w:val="684944B6"/>
    <w:rsid w:val="68CC1F20"/>
    <w:rsid w:val="68CF6B14"/>
    <w:rsid w:val="6B6D1204"/>
    <w:rsid w:val="6BC47260"/>
    <w:rsid w:val="6CA73AA5"/>
    <w:rsid w:val="6CC94903"/>
    <w:rsid w:val="6D4F68AD"/>
    <w:rsid w:val="6D7746CA"/>
    <w:rsid w:val="6F31109E"/>
    <w:rsid w:val="6F5525A6"/>
    <w:rsid w:val="6F675357"/>
    <w:rsid w:val="7088790A"/>
    <w:rsid w:val="71457EC3"/>
    <w:rsid w:val="715A76B1"/>
    <w:rsid w:val="71793716"/>
    <w:rsid w:val="717B4513"/>
    <w:rsid w:val="72010E9A"/>
    <w:rsid w:val="72526EF9"/>
    <w:rsid w:val="729D3F46"/>
    <w:rsid w:val="72F010A2"/>
    <w:rsid w:val="734218F7"/>
    <w:rsid w:val="7346048E"/>
    <w:rsid w:val="739C5605"/>
    <w:rsid w:val="750A068B"/>
    <w:rsid w:val="75FC5892"/>
    <w:rsid w:val="761A31D2"/>
    <w:rsid w:val="762832CB"/>
    <w:rsid w:val="76BF26D7"/>
    <w:rsid w:val="77322B7F"/>
    <w:rsid w:val="77BC407D"/>
    <w:rsid w:val="77E42E2B"/>
    <w:rsid w:val="78A55181"/>
    <w:rsid w:val="79350913"/>
    <w:rsid w:val="79674B6A"/>
    <w:rsid w:val="79C3284F"/>
    <w:rsid w:val="7AC16898"/>
    <w:rsid w:val="7B486982"/>
    <w:rsid w:val="7BAA76A3"/>
    <w:rsid w:val="7BCF2ABA"/>
    <w:rsid w:val="7C0377AC"/>
    <w:rsid w:val="7D2F0A77"/>
    <w:rsid w:val="7DF306FB"/>
    <w:rsid w:val="7E4A56A4"/>
    <w:rsid w:val="7EC61AFB"/>
    <w:rsid w:val="7ECD3E3A"/>
    <w:rsid w:val="7F1C2B54"/>
    <w:rsid w:val="7F35149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nhideWhenUsed="0" w:uiPriority="99" w:semiHidden="0"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qFormat="1" w:unhideWhenUsed="0" w:uiPriority="99" w:semiHidden="0" w:name="toc 1" w:locked="1"/>
    <w:lsdException w:qFormat="1" w:unhideWhenUsed="0" w:uiPriority="99" w:semiHidden="0" w:name="toc 2" w:locked="1"/>
    <w:lsdException w:qFormat="1" w:unhideWhenUsed="0" w:uiPriority="99" w:semiHidden="0" w:name="toc 3" w:locked="1"/>
    <w:lsdException w:qFormat="1" w:unhideWhenUsed="0" w:uiPriority="99" w:semiHidden="0" w:name="toc 4" w:locked="1"/>
    <w:lsdException w:qFormat="1" w:unhideWhenUsed="0" w:uiPriority="99" w:semiHidden="0" w:name="toc 5" w:locked="1"/>
    <w:lsdException w:qFormat="1" w:unhideWhenUsed="0" w:uiPriority="99" w:semiHidden="0" w:name="toc 6" w:locked="1"/>
    <w:lsdException w:qFormat="1" w:unhideWhenUsed="0" w:uiPriority="99" w:semiHidden="0" w:name="toc 7" w:locked="1"/>
    <w:lsdException w:qFormat="1" w:unhideWhenUsed="0" w:uiPriority="99" w:semiHidden="0" w:name="toc 8" w:locked="1"/>
    <w:lsdException w:qFormat="1" w:unhideWhenUsed="0" w:uiPriority="99" w:semiHidden="0" w:name="toc 9" w:locked="1"/>
    <w:lsdException w:uiPriority="0" w:name="Normal Indent" w:locked="1"/>
    <w:lsdException w:uiPriority="0"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99" w:semiHidden="0" w:name="annotation reference"/>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99" w:semiHidden="0" w:name="Title"/>
    <w:lsdException w:uiPriority="0" w:name="Closing" w:locked="1"/>
    <w:lsdException w:uiPriority="0"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qFormat="1" w:unhideWhenUsed="0" w:uiPriority="99" w:name="Date"/>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qFormat="1" w:unhideWhenUsed="0" w:uiPriority="99" w:semiHidden="0" w:name="Hyperlink"/>
    <w:lsdException w:qFormat="1" w:unhideWhenUsed="0" w:uiPriority="99" w:semiHidden="0" w:name="FollowedHyperlink"/>
    <w:lsdException w:qFormat="1" w:unhideWhenUsed="0" w:uiPriority="22" w:semiHidden="0" w:name="Strong" w:locked="1"/>
    <w:lsdException w:qFormat="1" w:unhideWhenUsed="0" w:uiPriority="99" w:semiHidden="0" w:name="Emphasis" w:locked="1"/>
    <w:lsdException w:qFormat="1" w:uiPriority="0" w:name="Document Map" w:locked="1"/>
    <w:lsdException w:qFormat="1" w:unhideWhenUsed="0" w:uiPriority="99" w:semiHidden="0" w:name="Plain Text"/>
    <w:lsdException w:uiPriority="0" w:name="E-mail Signature" w:locked="1"/>
    <w:lsdException w:qFormat="1" w:unhideWhenUsed="0" w:uiPriority="99" w:name="Normal (Web)"/>
    <w:lsdException w:uiPriority="0" w:name="HTML Acronym" w:locked="1"/>
    <w:lsdException w:uiPriority="0" w:name="HTML Address" w:locked="1"/>
    <w:lsdException w:qFormat="1" w:unhideWhenUsed="0" w:uiPriority="99" w:semiHidden="0" w:name="HTML Cite"/>
    <w:lsdException w:qFormat="1" w:unhideWhenUsed="0" w:uiPriority="99" w:semiHidden="0" w:name="HTML Code"/>
    <w:lsdException w:qFormat="1" w:unhideWhenUsed="0" w:uiPriority="99" w:semiHidden="0" w:name="HTML Definition"/>
    <w:lsdException w:uiPriority="0" w:name="HTML Keyboard" w:locked="1"/>
    <w:lsdException w:uiPriority="0" w:name="HTML Preformatted" w:locked="1"/>
    <w:lsdException w:uiPriority="0" w:name="HTML Sample" w:locked="1"/>
    <w:lsdException w:uiPriority="0" w:name="HTML Typewriter" w:locked="1"/>
    <w:lsdException w:qFormat="1" w:unhideWhenUsed="0" w:uiPriority="99" w:semiHidden="0" w:name="HTML Variable"/>
    <w:lsdException w:qFormat="1" w:uiPriority="99" w:name="Normal Table"/>
    <w:lsdException w:qFormat="1" w:unhideWhenUsed="0" w:uiPriority="99"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nhideWhenUsed="0" w:uiPriority="0" w:semiHidden="0" w:name="Table Web 2" w:locked="1"/>
    <w:lsdException w:unhideWhenUsed="0" w:uiPriority="0" w:semiHidden="0" w:name="Table Web 3" w:locked="1"/>
    <w:lsdException w:qFormat="1" w:unhideWhenUsed="0" w:uiPriority="99" w:name="Balloon Text"/>
    <w:lsdException w:qFormat="1" w:unhideWhenUsed="0" w:uiPriority="99"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43"/>
    <w:qFormat/>
    <w:locked/>
    <w:uiPriority w:val="99"/>
    <w:pPr>
      <w:keepNext/>
      <w:keepLines/>
      <w:spacing w:line="576" w:lineRule="auto"/>
      <w:outlineLvl w:val="0"/>
    </w:pPr>
    <w:rPr>
      <w:b/>
      <w:kern w:val="44"/>
      <w:sz w:val="44"/>
      <w:szCs w:val="20"/>
    </w:rPr>
  </w:style>
  <w:style w:type="paragraph" w:styleId="3">
    <w:name w:val="heading 2"/>
    <w:basedOn w:val="1"/>
    <w:next w:val="1"/>
    <w:link w:val="44"/>
    <w:qFormat/>
    <w:locked/>
    <w:uiPriority w:val="99"/>
    <w:pPr>
      <w:ind w:left="563"/>
      <w:outlineLvl w:val="1"/>
    </w:pPr>
    <w:rPr>
      <w:rFonts w:ascii="Cambria" w:hAnsi="Cambria"/>
      <w:b/>
      <w:kern w:val="0"/>
      <w:sz w:val="32"/>
      <w:szCs w:val="20"/>
    </w:rPr>
  </w:style>
  <w:style w:type="paragraph" w:styleId="4">
    <w:name w:val="heading 3"/>
    <w:basedOn w:val="1"/>
    <w:next w:val="1"/>
    <w:link w:val="45"/>
    <w:qFormat/>
    <w:locked/>
    <w:uiPriority w:val="99"/>
    <w:pPr>
      <w:outlineLvl w:val="2"/>
    </w:pPr>
    <w:rPr>
      <w:b/>
      <w:kern w:val="0"/>
      <w:sz w:val="32"/>
      <w:szCs w:val="20"/>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qFormat/>
    <w:locked/>
    <w:uiPriority w:val="99"/>
    <w:pPr>
      <w:ind w:left="2520" w:leftChars="1200"/>
    </w:pPr>
  </w:style>
  <w:style w:type="paragraph" w:styleId="6">
    <w:name w:val="Document Map"/>
    <w:basedOn w:val="1"/>
    <w:link w:val="69"/>
    <w:semiHidden/>
    <w:unhideWhenUsed/>
    <w:qFormat/>
    <w:locked/>
    <w:uiPriority w:val="0"/>
    <w:rPr>
      <w:rFonts w:ascii="宋体"/>
      <w:sz w:val="18"/>
      <w:szCs w:val="18"/>
    </w:rPr>
  </w:style>
  <w:style w:type="paragraph" w:styleId="7">
    <w:name w:val="annotation text"/>
    <w:basedOn w:val="1"/>
    <w:link w:val="46"/>
    <w:qFormat/>
    <w:uiPriority w:val="99"/>
    <w:pPr>
      <w:jc w:val="left"/>
    </w:pPr>
    <w:rPr>
      <w:szCs w:val="20"/>
    </w:rPr>
  </w:style>
  <w:style w:type="paragraph" w:styleId="8">
    <w:name w:val="Body Text"/>
    <w:basedOn w:val="1"/>
    <w:link w:val="48"/>
    <w:qFormat/>
    <w:uiPriority w:val="99"/>
    <w:pPr>
      <w:ind w:left="142"/>
    </w:pPr>
    <w:rPr>
      <w:kern w:val="0"/>
      <w:szCs w:val="20"/>
    </w:rPr>
  </w:style>
  <w:style w:type="paragraph" w:styleId="9">
    <w:name w:val="Body Text Indent"/>
    <w:basedOn w:val="1"/>
    <w:link w:val="49"/>
    <w:qFormat/>
    <w:uiPriority w:val="99"/>
    <w:pPr>
      <w:ind w:firstLine="600"/>
    </w:pPr>
    <w:rPr>
      <w:rFonts w:ascii="Times New Roman" w:hAnsi="Times New Roman"/>
      <w:kern w:val="0"/>
      <w:sz w:val="20"/>
      <w:szCs w:val="20"/>
    </w:rPr>
  </w:style>
  <w:style w:type="paragraph" w:styleId="10">
    <w:name w:val="toc 5"/>
    <w:basedOn w:val="1"/>
    <w:next w:val="1"/>
    <w:qFormat/>
    <w:locked/>
    <w:uiPriority w:val="99"/>
    <w:pPr>
      <w:ind w:left="1680" w:leftChars="800"/>
    </w:pPr>
  </w:style>
  <w:style w:type="paragraph" w:styleId="11">
    <w:name w:val="toc 3"/>
    <w:basedOn w:val="1"/>
    <w:next w:val="1"/>
    <w:qFormat/>
    <w:locked/>
    <w:uiPriority w:val="99"/>
    <w:pPr>
      <w:ind w:left="840" w:leftChars="400"/>
    </w:pPr>
  </w:style>
  <w:style w:type="paragraph" w:styleId="12">
    <w:name w:val="Plain Text"/>
    <w:basedOn w:val="1"/>
    <w:link w:val="50"/>
    <w:qFormat/>
    <w:uiPriority w:val="99"/>
    <w:rPr>
      <w:rFonts w:ascii="宋体" w:hAnsi="Courier New"/>
      <w:kern w:val="0"/>
      <w:szCs w:val="20"/>
    </w:rPr>
  </w:style>
  <w:style w:type="paragraph" w:styleId="13">
    <w:name w:val="toc 8"/>
    <w:basedOn w:val="1"/>
    <w:next w:val="1"/>
    <w:qFormat/>
    <w:locked/>
    <w:uiPriority w:val="99"/>
    <w:pPr>
      <w:ind w:left="2940" w:leftChars="1400"/>
    </w:pPr>
  </w:style>
  <w:style w:type="paragraph" w:styleId="14">
    <w:name w:val="Date"/>
    <w:basedOn w:val="1"/>
    <w:next w:val="1"/>
    <w:link w:val="51"/>
    <w:semiHidden/>
    <w:qFormat/>
    <w:uiPriority w:val="99"/>
    <w:pPr>
      <w:ind w:left="100" w:leftChars="2500"/>
    </w:pPr>
    <w:rPr>
      <w:kern w:val="0"/>
      <w:sz w:val="20"/>
      <w:szCs w:val="20"/>
    </w:rPr>
  </w:style>
  <w:style w:type="paragraph" w:styleId="15">
    <w:name w:val="Balloon Text"/>
    <w:basedOn w:val="1"/>
    <w:link w:val="52"/>
    <w:semiHidden/>
    <w:qFormat/>
    <w:uiPriority w:val="99"/>
    <w:rPr>
      <w:rFonts w:ascii="Times New Roman" w:hAnsi="Times New Roman"/>
      <w:kern w:val="0"/>
      <w:sz w:val="18"/>
      <w:szCs w:val="20"/>
    </w:rPr>
  </w:style>
  <w:style w:type="paragraph" w:styleId="16">
    <w:name w:val="footer"/>
    <w:basedOn w:val="1"/>
    <w:link w:val="53"/>
    <w:qFormat/>
    <w:uiPriority w:val="99"/>
    <w:pPr>
      <w:tabs>
        <w:tab w:val="center" w:pos="4153"/>
        <w:tab w:val="right" w:pos="8306"/>
      </w:tabs>
      <w:snapToGrid w:val="0"/>
      <w:jc w:val="left"/>
    </w:pPr>
    <w:rPr>
      <w:rFonts w:ascii="Times New Roman" w:hAnsi="Times New Roman"/>
      <w:kern w:val="0"/>
      <w:sz w:val="18"/>
      <w:szCs w:val="20"/>
    </w:rPr>
  </w:style>
  <w:style w:type="paragraph" w:styleId="17">
    <w:name w:val="header"/>
    <w:basedOn w:val="1"/>
    <w:link w:val="54"/>
    <w:qFormat/>
    <w:uiPriority w:val="99"/>
    <w:pPr>
      <w:tabs>
        <w:tab w:val="center" w:pos="4153"/>
        <w:tab w:val="right" w:pos="8306"/>
      </w:tabs>
      <w:snapToGrid w:val="0"/>
      <w:jc w:val="center"/>
    </w:pPr>
    <w:rPr>
      <w:kern w:val="0"/>
      <w:sz w:val="18"/>
      <w:szCs w:val="20"/>
    </w:rPr>
  </w:style>
  <w:style w:type="paragraph" w:styleId="18">
    <w:name w:val="toc 1"/>
    <w:basedOn w:val="1"/>
    <w:next w:val="1"/>
    <w:qFormat/>
    <w:locked/>
    <w:uiPriority w:val="99"/>
  </w:style>
  <w:style w:type="paragraph" w:styleId="19">
    <w:name w:val="toc 4"/>
    <w:basedOn w:val="1"/>
    <w:next w:val="1"/>
    <w:qFormat/>
    <w:locked/>
    <w:uiPriority w:val="99"/>
    <w:pPr>
      <w:ind w:left="1260" w:leftChars="600"/>
    </w:pPr>
  </w:style>
  <w:style w:type="paragraph" w:styleId="20">
    <w:name w:val="toc 6"/>
    <w:basedOn w:val="1"/>
    <w:next w:val="1"/>
    <w:qFormat/>
    <w:locked/>
    <w:uiPriority w:val="99"/>
    <w:pPr>
      <w:ind w:left="2100" w:leftChars="1000"/>
    </w:pPr>
  </w:style>
  <w:style w:type="paragraph" w:styleId="21">
    <w:name w:val="toc 2"/>
    <w:basedOn w:val="1"/>
    <w:next w:val="1"/>
    <w:qFormat/>
    <w:locked/>
    <w:uiPriority w:val="99"/>
    <w:pPr>
      <w:ind w:left="420" w:leftChars="200"/>
    </w:pPr>
  </w:style>
  <w:style w:type="paragraph" w:styleId="22">
    <w:name w:val="toc 9"/>
    <w:basedOn w:val="1"/>
    <w:next w:val="1"/>
    <w:qFormat/>
    <w:locked/>
    <w:uiPriority w:val="99"/>
    <w:pPr>
      <w:ind w:left="3360" w:leftChars="1600"/>
    </w:pPr>
  </w:style>
  <w:style w:type="paragraph" w:styleId="23">
    <w:name w:val="Normal (Web)"/>
    <w:basedOn w:val="1"/>
    <w:semiHidden/>
    <w:qFormat/>
    <w:uiPriority w:val="99"/>
    <w:pPr>
      <w:widowControl/>
      <w:spacing w:before="100" w:beforeAutospacing="1" w:after="100" w:afterAutospacing="1"/>
      <w:jc w:val="left"/>
    </w:pPr>
    <w:rPr>
      <w:rFonts w:ascii="宋体" w:hAnsi="宋体"/>
      <w:kern w:val="0"/>
      <w:sz w:val="24"/>
    </w:rPr>
  </w:style>
  <w:style w:type="paragraph" w:styleId="24">
    <w:name w:val="Title"/>
    <w:basedOn w:val="1"/>
    <w:link w:val="55"/>
    <w:qFormat/>
    <w:uiPriority w:val="99"/>
    <w:pPr>
      <w:spacing w:before="240" w:after="60"/>
      <w:jc w:val="center"/>
      <w:outlineLvl w:val="0"/>
    </w:pPr>
    <w:rPr>
      <w:rFonts w:ascii="Arial" w:hAnsi="Arial" w:eastAsia="PMingLiUfalt"/>
      <w:b/>
      <w:kern w:val="0"/>
      <w:sz w:val="32"/>
      <w:szCs w:val="20"/>
      <w:lang w:eastAsia="zh-TW"/>
    </w:rPr>
  </w:style>
  <w:style w:type="paragraph" w:styleId="25">
    <w:name w:val="annotation subject"/>
    <w:basedOn w:val="7"/>
    <w:next w:val="7"/>
    <w:link w:val="47"/>
    <w:qFormat/>
    <w:uiPriority w:val="99"/>
    <w:rPr>
      <w:b/>
    </w:rPr>
  </w:style>
  <w:style w:type="table" w:styleId="27">
    <w:name w:val="Table Grid"/>
    <w:basedOn w:val="26"/>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FollowedHyperlink"/>
    <w:qFormat/>
    <w:uiPriority w:val="99"/>
    <w:rPr>
      <w:rFonts w:cs="Times New Roman"/>
      <w:color w:val="333333"/>
      <w:u w:val="none"/>
    </w:rPr>
  </w:style>
  <w:style w:type="character" w:styleId="30">
    <w:name w:val="Emphasis"/>
    <w:qFormat/>
    <w:locked/>
    <w:uiPriority w:val="99"/>
    <w:rPr>
      <w:rFonts w:cs="Times New Roman"/>
    </w:rPr>
  </w:style>
  <w:style w:type="character" w:styleId="31">
    <w:name w:val="HTML Definition"/>
    <w:qFormat/>
    <w:uiPriority w:val="99"/>
    <w:rPr>
      <w:rFonts w:cs="Times New Roman"/>
    </w:rPr>
  </w:style>
  <w:style w:type="character" w:styleId="32">
    <w:name w:val="HTML Variable"/>
    <w:qFormat/>
    <w:uiPriority w:val="99"/>
    <w:rPr>
      <w:rFonts w:cs="Times New Roman"/>
    </w:rPr>
  </w:style>
  <w:style w:type="character" w:styleId="33">
    <w:name w:val="Hyperlink"/>
    <w:qFormat/>
    <w:uiPriority w:val="99"/>
    <w:rPr>
      <w:rFonts w:cs="Times New Roman"/>
      <w:color w:val="0000FF"/>
      <w:u w:val="single"/>
    </w:rPr>
  </w:style>
  <w:style w:type="character" w:styleId="34">
    <w:name w:val="HTML Code"/>
    <w:qFormat/>
    <w:uiPriority w:val="99"/>
    <w:rPr>
      <w:rFonts w:ascii="Courier New" w:hAnsi="Courier New" w:cs="Times New Roman"/>
      <w:sz w:val="20"/>
    </w:rPr>
  </w:style>
  <w:style w:type="character" w:styleId="35">
    <w:name w:val="annotation reference"/>
    <w:qFormat/>
    <w:uiPriority w:val="99"/>
    <w:rPr>
      <w:rFonts w:cs="Times New Roman"/>
      <w:sz w:val="21"/>
    </w:rPr>
  </w:style>
  <w:style w:type="character" w:styleId="36">
    <w:name w:val="HTML Cite"/>
    <w:qFormat/>
    <w:uiPriority w:val="99"/>
    <w:rPr>
      <w:rFonts w:cs="Times New Roman"/>
    </w:rPr>
  </w:style>
  <w:style w:type="paragraph" w:customStyle="1" w:styleId="37">
    <w:name w:val="列出段落1"/>
    <w:basedOn w:val="1"/>
    <w:qFormat/>
    <w:uiPriority w:val="99"/>
    <w:pPr>
      <w:ind w:firstLine="420" w:firstLineChars="200"/>
    </w:pPr>
    <w:rPr>
      <w:rFonts w:ascii="Times New Roman" w:hAnsi="Times New Roman"/>
      <w:szCs w:val="24"/>
    </w:rPr>
  </w:style>
  <w:style w:type="paragraph" w:customStyle="1" w:styleId="38">
    <w:name w:val="列出段落11"/>
    <w:basedOn w:val="1"/>
    <w:qFormat/>
    <w:uiPriority w:val="99"/>
    <w:pPr>
      <w:ind w:firstLine="420" w:firstLineChars="200"/>
    </w:pPr>
    <w:rPr>
      <w:rFonts w:cs="黑体"/>
      <w:szCs w:val="22"/>
    </w:rPr>
  </w:style>
  <w:style w:type="paragraph" w:customStyle="1" w:styleId="39">
    <w:name w:val="Table Paragraph"/>
    <w:basedOn w:val="1"/>
    <w:qFormat/>
    <w:uiPriority w:val="99"/>
  </w:style>
  <w:style w:type="paragraph" w:customStyle="1" w:styleId="40">
    <w:name w:val="List Paragraph11"/>
    <w:basedOn w:val="1"/>
    <w:qFormat/>
    <w:uiPriority w:val="99"/>
    <w:pPr>
      <w:widowControl/>
      <w:ind w:firstLine="420" w:firstLineChars="200"/>
      <w:jc w:val="left"/>
    </w:pPr>
    <w:rPr>
      <w:rFonts w:cs="Calibri"/>
      <w:kern w:val="0"/>
    </w:rPr>
  </w:style>
  <w:style w:type="paragraph" w:customStyle="1" w:styleId="41">
    <w:name w:val="_Style 1"/>
    <w:basedOn w:val="1"/>
    <w:qFormat/>
    <w:uiPriority w:val="99"/>
    <w:pPr>
      <w:ind w:firstLine="420" w:firstLineChars="200"/>
    </w:pPr>
    <w:rPr>
      <w:sz w:val="28"/>
      <w:szCs w:val="22"/>
    </w:rPr>
  </w:style>
  <w:style w:type="paragraph" w:customStyle="1" w:styleId="42">
    <w:name w:val="（符号）内容二标题1"/>
    <w:basedOn w:val="1"/>
    <w:qFormat/>
    <w:uiPriority w:val="99"/>
    <w:pPr>
      <w:tabs>
        <w:tab w:val="left" w:pos="420"/>
      </w:tabs>
      <w:spacing w:before="140" w:after="140" w:line="500" w:lineRule="exact"/>
      <w:ind w:left="430" w:hanging="430"/>
      <w:outlineLvl w:val="1"/>
    </w:pPr>
    <w:rPr>
      <w:rFonts w:ascii="楷体_GB2312" w:eastAsia="楷体_GB2312" w:cs="宋体"/>
      <w:b/>
      <w:bCs/>
      <w:sz w:val="28"/>
      <w:szCs w:val="20"/>
    </w:rPr>
  </w:style>
  <w:style w:type="character" w:customStyle="1" w:styleId="43">
    <w:name w:val="标题 1 Char"/>
    <w:link w:val="2"/>
    <w:qFormat/>
    <w:locked/>
    <w:uiPriority w:val="99"/>
    <w:rPr>
      <w:rFonts w:ascii="Calibri" w:hAnsi="Calibri" w:cs="Times New Roman"/>
      <w:b/>
      <w:kern w:val="44"/>
      <w:sz w:val="44"/>
    </w:rPr>
  </w:style>
  <w:style w:type="character" w:customStyle="1" w:styleId="44">
    <w:name w:val="标题 2 Char"/>
    <w:link w:val="3"/>
    <w:semiHidden/>
    <w:qFormat/>
    <w:locked/>
    <w:uiPriority w:val="99"/>
    <w:rPr>
      <w:rFonts w:ascii="Cambria" w:hAnsi="Cambria" w:eastAsia="宋体" w:cs="Times New Roman"/>
      <w:b/>
      <w:sz w:val="32"/>
    </w:rPr>
  </w:style>
  <w:style w:type="character" w:customStyle="1" w:styleId="45">
    <w:name w:val="标题 3 Char"/>
    <w:link w:val="4"/>
    <w:semiHidden/>
    <w:qFormat/>
    <w:locked/>
    <w:uiPriority w:val="99"/>
    <w:rPr>
      <w:rFonts w:cs="Times New Roman"/>
      <w:b/>
      <w:sz w:val="32"/>
    </w:rPr>
  </w:style>
  <w:style w:type="character" w:customStyle="1" w:styleId="46">
    <w:name w:val="批注文字 Char"/>
    <w:link w:val="7"/>
    <w:semiHidden/>
    <w:qFormat/>
    <w:locked/>
    <w:uiPriority w:val="99"/>
    <w:rPr>
      <w:rFonts w:cs="Times New Roman"/>
      <w:kern w:val="2"/>
      <w:sz w:val="21"/>
    </w:rPr>
  </w:style>
  <w:style w:type="character" w:customStyle="1" w:styleId="47">
    <w:name w:val="批注主题 Char"/>
    <w:link w:val="25"/>
    <w:semiHidden/>
    <w:qFormat/>
    <w:locked/>
    <w:uiPriority w:val="99"/>
    <w:rPr>
      <w:rFonts w:cs="Times New Roman"/>
      <w:b/>
      <w:kern w:val="2"/>
      <w:sz w:val="21"/>
    </w:rPr>
  </w:style>
  <w:style w:type="character" w:customStyle="1" w:styleId="48">
    <w:name w:val="正文文本 Char"/>
    <w:link w:val="8"/>
    <w:semiHidden/>
    <w:qFormat/>
    <w:locked/>
    <w:uiPriority w:val="99"/>
    <w:rPr>
      <w:rFonts w:cs="Times New Roman"/>
      <w:sz w:val="21"/>
    </w:rPr>
  </w:style>
  <w:style w:type="character" w:customStyle="1" w:styleId="49">
    <w:name w:val="正文文本缩进 Char"/>
    <w:link w:val="9"/>
    <w:qFormat/>
    <w:locked/>
    <w:uiPriority w:val="99"/>
    <w:rPr>
      <w:rFonts w:ascii="Times New Roman" w:hAnsi="Times New Roman" w:eastAsia="宋体" w:cs="Times New Roman"/>
      <w:sz w:val="20"/>
    </w:rPr>
  </w:style>
  <w:style w:type="character" w:customStyle="1" w:styleId="50">
    <w:name w:val="纯文本 Char"/>
    <w:link w:val="12"/>
    <w:qFormat/>
    <w:locked/>
    <w:uiPriority w:val="99"/>
    <w:rPr>
      <w:rFonts w:ascii="宋体" w:hAnsi="Courier New" w:eastAsia="宋体" w:cs="Times New Roman"/>
      <w:sz w:val="21"/>
    </w:rPr>
  </w:style>
  <w:style w:type="character" w:customStyle="1" w:styleId="51">
    <w:name w:val="日期 Char"/>
    <w:link w:val="14"/>
    <w:semiHidden/>
    <w:qFormat/>
    <w:locked/>
    <w:uiPriority w:val="99"/>
    <w:rPr>
      <w:rFonts w:cs="Times New Roman"/>
    </w:rPr>
  </w:style>
  <w:style w:type="character" w:customStyle="1" w:styleId="52">
    <w:name w:val="批注框文本 Char"/>
    <w:link w:val="15"/>
    <w:semiHidden/>
    <w:qFormat/>
    <w:locked/>
    <w:uiPriority w:val="99"/>
    <w:rPr>
      <w:rFonts w:ascii="Times New Roman" w:hAnsi="Times New Roman" w:eastAsia="宋体" w:cs="Times New Roman"/>
      <w:sz w:val="18"/>
    </w:rPr>
  </w:style>
  <w:style w:type="character" w:customStyle="1" w:styleId="53">
    <w:name w:val="页脚 Char"/>
    <w:link w:val="16"/>
    <w:qFormat/>
    <w:locked/>
    <w:uiPriority w:val="99"/>
    <w:rPr>
      <w:rFonts w:ascii="Times New Roman" w:hAnsi="Times New Roman" w:eastAsia="宋体" w:cs="Times New Roman"/>
      <w:sz w:val="18"/>
    </w:rPr>
  </w:style>
  <w:style w:type="character" w:customStyle="1" w:styleId="54">
    <w:name w:val="页眉 Char"/>
    <w:link w:val="17"/>
    <w:qFormat/>
    <w:locked/>
    <w:uiPriority w:val="99"/>
    <w:rPr>
      <w:rFonts w:cs="Times New Roman"/>
      <w:sz w:val="18"/>
    </w:rPr>
  </w:style>
  <w:style w:type="character" w:customStyle="1" w:styleId="55">
    <w:name w:val="标题 Char"/>
    <w:link w:val="24"/>
    <w:qFormat/>
    <w:locked/>
    <w:uiPriority w:val="99"/>
    <w:rPr>
      <w:rFonts w:ascii="Arial" w:hAnsi="Arial" w:eastAsia="PMingLiUfalt" w:cs="Times New Roman"/>
      <w:b/>
      <w:sz w:val="32"/>
      <w:lang w:eastAsia="zh-TW"/>
    </w:rPr>
  </w:style>
  <w:style w:type="character" w:customStyle="1" w:styleId="56">
    <w:name w:val="weby11"/>
    <w:qFormat/>
    <w:uiPriority w:val="99"/>
    <w:rPr>
      <w:sz w:val="18"/>
    </w:rPr>
  </w:style>
  <w:style w:type="character" w:customStyle="1" w:styleId="57">
    <w:name w:val="op-map-singlepoint-info-right"/>
    <w:qFormat/>
    <w:uiPriority w:val="99"/>
  </w:style>
  <w:style w:type="character" w:customStyle="1" w:styleId="58">
    <w:name w:val="普通文字 Char Char11"/>
    <w:qFormat/>
    <w:locked/>
    <w:uiPriority w:val="99"/>
    <w:rPr>
      <w:rFonts w:ascii="宋体" w:hAnsi="Courier New" w:eastAsia="宋体"/>
      <w:kern w:val="2"/>
      <w:sz w:val="24"/>
      <w:lang w:val="en-US" w:eastAsia="zh-CN"/>
    </w:rPr>
  </w:style>
  <w:style w:type="character" w:customStyle="1" w:styleId="59">
    <w:name w:val="font01"/>
    <w:qFormat/>
    <w:uiPriority w:val="99"/>
    <w:rPr>
      <w:rFonts w:ascii="宋体" w:hAnsi="宋体" w:eastAsia="宋体"/>
      <w:color w:val="000000"/>
      <w:sz w:val="22"/>
      <w:u w:val="none"/>
    </w:rPr>
  </w:style>
  <w:style w:type="character" w:customStyle="1" w:styleId="60">
    <w:name w:val="font11"/>
    <w:qFormat/>
    <w:uiPriority w:val="99"/>
    <w:rPr>
      <w:rFonts w:ascii="Tahoma" w:hAnsi="Tahoma"/>
      <w:color w:val="000000"/>
      <w:sz w:val="22"/>
      <w:u w:val="none"/>
    </w:rPr>
  </w:style>
  <w:style w:type="character" w:customStyle="1" w:styleId="61">
    <w:name w:val="current"/>
    <w:qFormat/>
    <w:uiPriority w:val="99"/>
    <w:rPr>
      <w:rFonts w:cs="Times New Roman"/>
      <w:b/>
      <w:color w:val="99210B"/>
    </w:rPr>
  </w:style>
  <w:style w:type="character" w:customStyle="1" w:styleId="62">
    <w:name w:val="hr6"/>
    <w:qFormat/>
    <w:uiPriority w:val="99"/>
    <w:rPr>
      <w:rFonts w:cs="Times New Roman"/>
    </w:rPr>
  </w:style>
  <w:style w:type="character" w:customStyle="1" w:styleId="63">
    <w:name w:val="bz"/>
    <w:qFormat/>
    <w:uiPriority w:val="99"/>
    <w:rPr>
      <w:rFonts w:cs="Times New Roman"/>
    </w:rPr>
  </w:style>
  <w:style w:type="character" w:customStyle="1" w:styleId="64">
    <w:name w:val="selected"/>
    <w:qFormat/>
    <w:uiPriority w:val="99"/>
    <w:rPr>
      <w:rFonts w:cs="Times New Roman"/>
      <w:shd w:val="clear" w:color="auto" w:fill="B00006"/>
    </w:rPr>
  </w:style>
  <w:style w:type="character" w:customStyle="1" w:styleId="65">
    <w:name w:val="displayarti"/>
    <w:qFormat/>
    <w:uiPriority w:val="99"/>
    <w:rPr>
      <w:rFonts w:cs="Times New Roman"/>
      <w:color w:val="FFFFFF"/>
      <w:shd w:val="clear" w:color="auto" w:fill="A00000"/>
    </w:rPr>
  </w:style>
  <w:style w:type="character" w:customStyle="1" w:styleId="66">
    <w:name w:val="gpa"/>
    <w:qFormat/>
    <w:uiPriority w:val="99"/>
    <w:rPr>
      <w:rFonts w:ascii="Arial" w:hAnsi="Arial" w:cs="Arial"/>
      <w:sz w:val="15"/>
      <w:szCs w:val="15"/>
    </w:rPr>
  </w:style>
  <w:style w:type="paragraph" w:styleId="67">
    <w:name w:val="List Paragraph"/>
    <w:basedOn w:val="1"/>
    <w:unhideWhenUsed/>
    <w:qFormat/>
    <w:uiPriority w:val="99"/>
    <w:pPr>
      <w:ind w:firstLine="420" w:firstLineChars="200"/>
    </w:pPr>
  </w:style>
  <w:style w:type="character" w:customStyle="1" w:styleId="68">
    <w:name w:val="unnamed1"/>
    <w:qFormat/>
    <w:uiPriority w:val="0"/>
  </w:style>
  <w:style w:type="character" w:customStyle="1" w:styleId="69">
    <w:name w:val="文档结构图 Char"/>
    <w:link w:val="6"/>
    <w:semiHidden/>
    <w:qFormat/>
    <w:uiPriority w:val="0"/>
    <w:rPr>
      <w:rFonts w:ascii="宋体"/>
      <w:kern w:val="2"/>
      <w:sz w:val="18"/>
      <w:szCs w:val="18"/>
    </w:rPr>
  </w:style>
  <w:style w:type="paragraph" w:customStyle="1" w:styleId="70">
    <w:name w:val="普通(网站)1"/>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B1B130-A21C-4777-9553-B85246BEF9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38</Pages>
  <Words>3209</Words>
  <Characters>18295</Characters>
  <Lines>152</Lines>
  <Paragraphs>42</Paragraphs>
  <TotalTime>18</TotalTime>
  <ScaleCrop>false</ScaleCrop>
  <LinksUpToDate>false</LinksUpToDate>
  <CharactersWithSpaces>21462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2021-11-02T03:13:00Z</dcterms:created>
  <dc:creator>w</dc:creator>
  <cp:lastModifiedBy>小弦~</cp:lastModifiedBy>
  <cp:lastPrinted>2020-08-10T04:11:00Z</cp:lastPrinted>
  <dcterms:modified xsi:type="dcterms:W3CDTF">2021-11-10T06:22:38Z</dcterms:modified>
  <dc:title>湖北省省级政府采购</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76365DAE8EB94008B80C3F3076660AF0</vt:lpwstr>
  </property>
</Properties>
</file>