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heme="minorEastAsia" w:hAnsiTheme="minorEastAsia" w:eastAsiaTheme="minorEastAsia"/>
          <w:color w:val="auto"/>
          <w:sz w:val="24"/>
          <w:highlight w:val="none"/>
        </w:rPr>
      </w:pPr>
    </w:p>
    <w:p>
      <w:pPr>
        <w:ind w:firstLine="480"/>
        <w:rPr>
          <w:rFonts w:hint="eastAsia"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ind w:firstLine="480"/>
        <w:rPr>
          <w:rFonts w:asciiTheme="minorEastAsia" w:hAnsiTheme="minorEastAsia" w:eastAsiaTheme="minorEastAsia"/>
          <w:color w:val="auto"/>
          <w:sz w:val="24"/>
          <w:highlight w:val="none"/>
          <w:lang w:bidi="he-IL"/>
        </w:rPr>
      </w:pPr>
    </w:p>
    <w:p>
      <w:pPr>
        <w:snapToGrid w:val="0"/>
        <w:ind w:firstLine="0" w:firstLineChars="0"/>
        <w:jc w:val="center"/>
        <w:rPr>
          <w:rFonts w:cs="Times New Roman" w:asciiTheme="minorEastAsia" w:hAnsiTheme="minorEastAsia" w:eastAsiaTheme="minorEastAsia"/>
          <w:b/>
          <w:color w:val="auto"/>
          <w:sz w:val="72"/>
          <w:szCs w:val="22"/>
          <w:highlight w:val="none"/>
        </w:rPr>
      </w:pPr>
      <w:r>
        <w:rPr>
          <w:rFonts w:hint="eastAsia" w:cs="Times New Roman" w:asciiTheme="minorEastAsia" w:hAnsiTheme="minorEastAsia" w:eastAsiaTheme="minorEastAsia"/>
          <w:b/>
          <w:color w:val="auto"/>
          <w:sz w:val="72"/>
          <w:szCs w:val="22"/>
          <w:highlight w:val="none"/>
        </w:rPr>
        <w:t>竞争性谈判文件</w:t>
      </w:r>
    </w:p>
    <w:p>
      <w:pPr>
        <w:ind w:firstLine="480"/>
        <w:jc w:val="center"/>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ind w:firstLine="480"/>
        <w:rPr>
          <w:rFonts w:asciiTheme="minorEastAsia" w:hAnsiTheme="minorEastAsia" w:eastAsiaTheme="minorEastAsia"/>
          <w:color w:val="auto"/>
          <w:sz w:val="24"/>
          <w:highlight w:val="none"/>
        </w:rPr>
      </w:pPr>
    </w:p>
    <w:p>
      <w:pPr>
        <w:snapToGrid w:val="0"/>
        <w:ind w:firstLine="1610" w:firstLineChars="671"/>
        <w:rPr>
          <w:rFonts w:hint="default" w:asciiTheme="minorEastAsia" w:hAnsiTheme="minorEastAsia" w:eastAsiaTheme="minorEastAsia"/>
          <w:color w:val="auto"/>
          <w:sz w:val="24"/>
          <w:szCs w:val="28"/>
          <w:highlight w:val="none"/>
          <w:lang w:val="en-US" w:eastAsia="zh-CN"/>
        </w:rPr>
      </w:pPr>
      <w:r>
        <w:rPr>
          <w:rFonts w:hint="eastAsia" w:asciiTheme="minorEastAsia" w:hAnsiTheme="minorEastAsia" w:eastAsiaTheme="minorEastAsia"/>
          <w:color w:val="auto"/>
          <w:sz w:val="24"/>
          <w:szCs w:val="28"/>
          <w:highlight w:val="none"/>
        </w:rPr>
        <w:t>项目名称：鄂东云</w:t>
      </w:r>
      <w:r>
        <w:rPr>
          <w:rFonts w:hint="eastAsia" w:asciiTheme="minorEastAsia" w:hAnsiTheme="minorEastAsia" w:eastAsiaTheme="minorEastAsia"/>
          <w:color w:val="auto"/>
          <w:sz w:val="24"/>
          <w:szCs w:val="28"/>
          <w:highlight w:val="none"/>
          <w:lang w:val="en-US" w:eastAsia="zh-CN"/>
        </w:rPr>
        <w:t>互联网专线</w:t>
      </w:r>
      <w:r>
        <w:rPr>
          <w:rFonts w:hint="eastAsia" w:asciiTheme="minorEastAsia" w:hAnsiTheme="minorEastAsia" w:eastAsiaTheme="minorEastAsia"/>
          <w:color w:val="auto"/>
          <w:sz w:val="24"/>
          <w:szCs w:val="28"/>
          <w:highlight w:val="none"/>
        </w:rPr>
        <w:t>采购</w:t>
      </w:r>
      <w:r>
        <w:rPr>
          <w:rFonts w:hint="eastAsia" w:asciiTheme="minorEastAsia" w:hAnsiTheme="minorEastAsia" w:eastAsiaTheme="minorEastAsia"/>
          <w:color w:val="auto"/>
          <w:sz w:val="24"/>
          <w:szCs w:val="28"/>
          <w:highlight w:val="none"/>
          <w:lang w:val="en-US" w:eastAsia="zh-CN"/>
        </w:rPr>
        <w:t>项目</w:t>
      </w:r>
    </w:p>
    <w:p>
      <w:pPr>
        <w:snapToGrid w:val="0"/>
        <w:ind w:firstLine="1610" w:firstLineChars="671"/>
        <w:rPr>
          <w:rFonts w:hint="default" w:asciiTheme="minorEastAsia" w:hAnsiTheme="minorEastAsia" w:eastAsiaTheme="minorEastAsia"/>
          <w:color w:val="auto"/>
          <w:sz w:val="24"/>
          <w:szCs w:val="28"/>
          <w:highlight w:val="none"/>
          <w:lang w:val="en-US"/>
        </w:rPr>
      </w:pPr>
      <w:r>
        <w:rPr>
          <w:rFonts w:hint="eastAsia" w:asciiTheme="minorEastAsia" w:hAnsiTheme="minorEastAsia" w:eastAsiaTheme="minorEastAsia"/>
          <w:color w:val="auto"/>
          <w:sz w:val="24"/>
          <w:szCs w:val="28"/>
          <w:highlight w:val="none"/>
        </w:rPr>
        <w:t>项目编号：EDY-</w:t>
      </w:r>
      <w:r>
        <w:rPr>
          <w:rFonts w:hint="eastAsia" w:asciiTheme="minorEastAsia" w:hAnsiTheme="minorEastAsia" w:eastAsiaTheme="minorEastAsia"/>
          <w:color w:val="auto"/>
          <w:sz w:val="24"/>
          <w:szCs w:val="28"/>
          <w:highlight w:val="none"/>
          <w:lang w:val="en-US" w:eastAsia="zh-CN"/>
        </w:rPr>
        <w:t>HLWZX</w:t>
      </w:r>
      <w:r>
        <w:rPr>
          <w:rFonts w:hint="eastAsia" w:asciiTheme="minorEastAsia" w:hAnsiTheme="minorEastAsia" w:eastAsiaTheme="minorEastAsia"/>
          <w:color w:val="auto"/>
          <w:sz w:val="24"/>
          <w:szCs w:val="28"/>
          <w:highlight w:val="none"/>
        </w:rPr>
        <w:t>CG-2022</w:t>
      </w:r>
      <w:r>
        <w:rPr>
          <w:rFonts w:hint="eastAsia" w:asciiTheme="minorEastAsia" w:hAnsiTheme="minorEastAsia" w:eastAsiaTheme="minorEastAsia"/>
          <w:color w:val="auto"/>
          <w:sz w:val="24"/>
          <w:szCs w:val="28"/>
          <w:highlight w:val="none"/>
          <w:lang w:val="en-US" w:eastAsia="zh-CN"/>
        </w:rPr>
        <w:t>1108</w:t>
      </w:r>
    </w:p>
    <w:p>
      <w:pPr>
        <w:snapToGrid w:val="0"/>
        <w:ind w:firstLine="1610" w:firstLineChars="671"/>
        <w:rPr>
          <w:rFonts w:asciiTheme="minorEastAsia" w:hAnsiTheme="minorEastAsia" w:eastAsiaTheme="minorEastAsia"/>
          <w:color w:val="auto"/>
          <w:sz w:val="24"/>
          <w:szCs w:val="28"/>
          <w:highlight w:val="none"/>
        </w:rPr>
      </w:pPr>
      <w:r>
        <w:rPr>
          <w:rFonts w:hint="eastAsia" w:asciiTheme="minorEastAsia" w:hAnsiTheme="minorEastAsia" w:eastAsiaTheme="minorEastAsia"/>
          <w:color w:val="auto"/>
          <w:sz w:val="24"/>
          <w:szCs w:val="28"/>
          <w:highlight w:val="none"/>
        </w:rPr>
        <w:t>项目属性：服务采购</w:t>
      </w:r>
    </w:p>
    <w:p>
      <w:pPr>
        <w:snapToGrid w:val="0"/>
        <w:ind w:firstLine="1610" w:firstLineChars="671"/>
        <w:rPr>
          <w:rFonts w:asciiTheme="minorEastAsia" w:hAnsiTheme="minorEastAsia" w:eastAsiaTheme="minorEastAsia"/>
          <w:color w:val="auto"/>
          <w:sz w:val="24"/>
          <w:szCs w:val="28"/>
          <w:highlight w:val="none"/>
        </w:rPr>
      </w:pPr>
      <w:r>
        <w:rPr>
          <w:rFonts w:hint="eastAsia" w:asciiTheme="minorEastAsia" w:hAnsiTheme="minorEastAsia" w:eastAsiaTheme="minorEastAsia"/>
          <w:color w:val="auto"/>
          <w:sz w:val="24"/>
          <w:szCs w:val="28"/>
          <w:highlight w:val="none"/>
        </w:rPr>
        <w:t>采</w:t>
      </w:r>
      <w:r>
        <w:rPr>
          <w:rFonts w:asciiTheme="minorEastAsia" w:hAnsiTheme="minorEastAsia" w:eastAsiaTheme="minorEastAsia"/>
          <w:color w:val="auto"/>
          <w:sz w:val="24"/>
          <w:szCs w:val="28"/>
          <w:highlight w:val="none"/>
        </w:rPr>
        <w:t xml:space="preserve"> 购 人：</w:t>
      </w:r>
      <w:r>
        <w:rPr>
          <w:rFonts w:hint="eastAsia" w:asciiTheme="minorEastAsia" w:hAnsiTheme="minorEastAsia" w:eastAsiaTheme="minorEastAsia"/>
          <w:color w:val="auto"/>
          <w:sz w:val="24"/>
          <w:szCs w:val="28"/>
          <w:highlight w:val="none"/>
        </w:rPr>
        <w:t>湖北省鄂东云计算技术服务有限公司</w:t>
      </w:r>
    </w:p>
    <w:p>
      <w:pPr>
        <w:snapToGrid w:val="0"/>
        <w:ind w:firstLine="173" w:firstLineChars="62"/>
        <w:rPr>
          <w:rFonts w:cs="Arial" w:asciiTheme="minorEastAsia" w:hAnsiTheme="minorEastAsia" w:eastAsiaTheme="minorEastAsia"/>
          <w:color w:val="auto"/>
          <w:sz w:val="28"/>
          <w:szCs w:val="28"/>
          <w:highlight w:val="none"/>
          <w:lang w:val="zh-CN"/>
        </w:rPr>
      </w:pPr>
    </w:p>
    <w:p>
      <w:pPr>
        <w:snapToGrid w:val="0"/>
        <w:ind w:firstLine="173" w:firstLineChars="62"/>
        <w:jc w:val="center"/>
        <w:rPr>
          <w:rFonts w:hint="eastAsia" w:cs="Arial" w:asciiTheme="minorEastAsia" w:hAnsiTheme="minorEastAsia" w:eastAsiaTheme="minorEastAsia"/>
          <w:color w:val="auto"/>
          <w:sz w:val="28"/>
          <w:szCs w:val="28"/>
          <w:highlight w:val="none"/>
          <w:lang w:val="zh-CN"/>
        </w:rPr>
      </w:pPr>
    </w:p>
    <w:p>
      <w:pPr>
        <w:snapToGrid w:val="0"/>
        <w:ind w:firstLine="173" w:firstLineChars="62"/>
        <w:jc w:val="center"/>
        <w:rPr>
          <w:rFonts w:cs="宋体" w:asciiTheme="minorEastAsia" w:hAnsiTheme="minorEastAsia" w:eastAsiaTheme="minorEastAsia"/>
          <w:bCs/>
          <w:color w:val="auto"/>
          <w:kern w:val="0"/>
          <w:sz w:val="28"/>
          <w:szCs w:val="28"/>
          <w:highlight w:val="none"/>
        </w:rPr>
      </w:pPr>
      <w:r>
        <w:rPr>
          <w:rFonts w:hint="eastAsia" w:cs="Arial" w:asciiTheme="minorEastAsia" w:hAnsiTheme="minorEastAsia" w:eastAsiaTheme="minorEastAsia"/>
          <w:color w:val="auto"/>
          <w:sz w:val="28"/>
          <w:szCs w:val="28"/>
          <w:highlight w:val="none"/>
          <w:lang w:val="zh-CN"/>
        </w:rPr>
        <w:t>二〇二二年</w:t>
      </w:r>
      <w:r>
        <w:rPr>
          <w:rFonts w:hint="eastAsia" w:cs="Arial" w:asciiTheme="minorEastAsia" w:hAnsiTheme="minorEastAsia" w:eastAsiaTheme="minorEastAsia"/>
          <w:color w:val="auto"/>
          <w:sz w:val="28"/>
          <w:szCs w:val="28"/>
          <w:highlight w:val="none"/>
          <w:lang w:val="en-US" w:eastAsia="zh-CN"/>
        </w:rPr>
        <w:t>十一</w:t>
      </w:r>
      <w:r>
        <w:rPr>
          <w:rFonts w:hint="eastAsia" w:cs="Arial" w:asciiTheme="minorEastAsia" w:hAnsiTheme="minorEastAsia" w:eastAsiaTheme="minorEastAsia"/>
          <w:color w:val="auto"/>
          <w:sz w:val="28"/>
          <w:szCs w:val="28"/>
          <w:highlight w:val="none"/>
          <w:lang w:val="zh-CN"/>
        </w:rPr>
        <w:t>月</w:t>
      </w:r>
    </w:p>
    <w:p>
      <w:pPr>
        <w:ind w:firstLine="197" w:firstLineChars="35"/>
        <w:jc w:val="center"/>
        <w:rPr>
          <w:rFonts w:hint="eastAsia" w:cs="宋体" w:asciiTheme="minorEastAsia" w:hAnsiTheme="minorEastAsia" w:eastAsiaTheme="minorEastAsia"/>
          <w:b/>
          <w:bCs/>
          <w:color w:val="auto"/>
          <w:spacing w:val="60"/>
          <w:sz w:val="44"/>
          <w:szCs w:val="44"/>
          <w:highlight w:val="none"/>
        </w:rPr>
      </w:pPr>
    </w:p>
    <w:p>
      <w:pPr>
        <w:ind w:firstLine="0" w:firstLineChars="0"/>
        <w:jc w:val="center"/>
        <w:rPr>
          <w:rFonts w:asciiTheme="majorEastAsia" w:hAnsiTheme="majorEastAsia" w:eastAsiaTheme="majorEastAsia"/>
          <w:b/>
          <w:color w:val="auto"/>
          <w:sz w:val="40"/>
          <w:szCs w:val="28"/>
          <w:highlight w:val="none"/>
        </w:rPr>
      </w:pPr>
      <w:r>
        <w:rPr>
          <w:rFonts w:asciiTheme="majorEastAsia" w:hAnsiTheme="majorEastAsia" w:eastAsiaTheme="majorEastAsia"/>
          <w:b/>
          <w:color w:val="auto"/>
          <w:sz w:val="40"/>
          <w:szCs w:val="28"/>
          <w:highlight w:val="none"/>
        </w:rPr>
        <w:t>目录</w:t>
      </w:r>
    </w:p>
    <w:p>
      <w:pPr>
        <w:pStyle w:val="28"/>
        <w:rPr>
          <w:rFonts w:asciiTheme="majorEastAsia" w:hAnsiTheme="majorEastAsia" w:eastAsiaTheme="majorEastAsia"/>
          <w:b w:val="0"/>
          <w:color w:val="auto"/>
          <w:highlight w:val="none"/>
        </w:rPr>
      </w:pPr>
    </w:p>
    <w:p>
      <w:pPr>
        <w:pStyle w:val="28"/>
        <w:tabs>
          <w:tab w:val="right" w:leader="dot" w:pos="8296"/>
        </w:tabs>
        <w:jc w:val="left"/>
        <w:rPr>
          <w:rFonts w:asciiTheme="majorEastAsia" w:hAnsiTheme="majorEastAsia" w:eastAsiaTheme="majorEastAsia" w:cstheme="minorBidi"/>
          <w:b w:val="0"/>
          <w:color w:val="auto"/>
          <w:sz w:val="28"/>
          <w:highlight w:val="none"/>
        </w:rPr>
      </w:pPr>
      <w:r>
        <w:rPr>
          <w:rFonts w:asciiTheme="majorEastAsia" w:hAnsiTheme="majorEastAsia" w:eastAsiaTheme="majorEastAsia"/>
          <w:b w:val="0"/>
          <w:color w:val="auto"/>
          <w:sz w:val="24"/>
          <w:highlight w:val="none"/>
        </w:rPr>
        <w:fldChar w:fldCharType="begin"/>
      </w:r>
      <w:r>
        <w:rPr>
          <w:rFonts w:asciiTheme="majorEastAsia" w:hAnsiTheme="majorEastAsia" w:eastAsiaTheme="majorEastAsia"/>
          <w:b w:val="0"/>
          <w:color w:val="auto"/>
          <w:sz w:val="24"/>
          <w:highlight w:val="none"/>
        </w:rPr>
        <w:instrText xml:space="preserve"> TOC \o "1-3" \h \z \u </w:instrText>
      </w:r>
      <w:r>
        <w:rPr>
          <w:rFonts w:asciiTheme="majorEastAsia" w:hAnsiTheme="majorEastAsia" w:eastAsiaTheme="majorEastAsia"/>
          <w:b w:val="0"/>
          <w:color w:val="auto"/>
          <w:sz w:val="24"/>
          <w:highlight w:val="none"/>
        </w:rPr>
        <w:fldChar w:fldCharType="separate"/>
      </w:r>
      <w:r>
        <w:rPr>
          <w:color w:val="auto"/>
          <w:highlight w:val="none"/>
        </w:rPr>
        <w:fldChar w:fldCharType="begin"/>
      </w:r>
      <w:r>
        <w:rPr>
          <w:color w:val="auto"/>
          <w:highlight w:val="none"/>
        </w:rPr>
        <w:instrText xml:space="preserve"> HYPERLINK \l "_Toc83732589"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第一章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竞争性谈判公告</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_Toc83732589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- 3 -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pStyle w:val="28"/>
        <w:tabs>
          <w:tab w:val="right" w:leader="dot" w:pos="8296"/>
        </w:tabs>
        <w:rPr>
          <w:rFonts w:asciiTheme="majorEastAsia" w:hAnsiTheme="majorEastAsia" w:eastAsiaTheme="majorEastAsia" w:cstheme="minorBidi"/>
          <w:b w:val="0"/>
          <w:color w:val="auto"/>
          <w:sz w:val="28"/>
          <w:highlight w:val="none"/>
        </w:rPr>
      </w:pPr>
      <w:r>
        <w:rPr>
          <w:color w:val="auto"/>
          <w:highlight w:val="none"/>
        </w:rPr>
        <w:fldChar w:fldCharType="begin"/>
      </w:r>
      <w:r>
        <w:rPr>
          <w:color w:val="auto"/>
          <w:highlight w:val="none"/>
        </w:rPr>
        <w:instrText xml:space="preserve"> HYPERLINK \l "_Toc83732590"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第二章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供应商须知</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_Toc83732590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- 4 -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pStyle w:val="28"/>
        <w:tabs>
          <w:tab w:val="right" w:leader="dot" w:pos="8296"/>
        </w:tabs>
        <w:rPr>
          <w:rFonts w:asciiTheme="majorEastAsia" w:hAnsiTheme="majorEastAsia" w:eastAsiaTheme="majorEastAsia" w:cstheme="minorBidi"/>
          <w:b w:val="0"/>
          <w:color w:val="auto"/>
          <w:sz w:val="28"/>
          <w:highlight w:val="none"/>
        </w:rPr>
      </w:pPr>
      <w:r>
        <w:rPr>
          <w:color w:val="auto"/>
          <w:highlight w:val="none"/>
        </w:rPr>
        <w:fldChar w:fldCharType="begin"/>
      </w:r>
      <w:r>
        <w:rPr>
          <w:color w:val="auto"/>
          <w:highlight w:val="none"/>
        </w:rPr>
        <w:instrText xml:space="preserve"> HYPERLINK \l "_Toc83732591"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第三章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采购需求</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_Toc83732591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- 19 -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pStyle w:val="28"/>
        <w:tabs>
          <w:tab w:val="right" w:leader="dot" w:pos="8296"/>
        </w:tabs>
        <w:rPr>
          <w:rFonts w:asciiTheme="majorEastAsia" w:hAnsiTheme="majorEastAsia" w:eastAsiaTheme="majorEastAsia" w:cstheme="minorBidi"/>
          <w:b w:val="0"/>
          <w:color w:val="auto"/>
          <w:sz w:val="28"/>
          <w:highlight w:val="none"/>
        </w:rPr>
      </w:pPr>
      <w:r>
        <w:rPr>
          <w:color w:val="auto"/>
          <w:highlight w:val="none"/>
        </w:rPr>
        <w:fldChar w:fldCharType="begin"/>
      </w:r>
      <w:r>
        <w:rPr>
          <w:color w:val="auto"/>
          <w:highlight w:val="none"/>
        </w:rPr>
        <w:instrText xml:space="preserve"> HYPERLINK \l "_Toc83732592"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第四章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评审办法</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_Toc83732592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- 20 -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pStyle w:val="28"/>
        <w:tabs>
          <w:tab w:val="right" w:leader="dot" w:pos="8296"/>
        </w:tabs>
        <w:rPr>
          <w:rFonts w:asciiTheme="majorEastAsia" w:hAnsiTheme="majorEastAsia" w:eastAsiaTheme="majorEastAsia" w:cstheme="minorBidi"/>
          <w:b w:val="0"/>
          <w:color w:val="auto"/>
          <w:sz w:val="28"/>
          <w:highlight w:val="none"/>
        </w:rPr>
      </w:pPr>
      <w:r>
        <w:rPr>
          <w:color w:val="auto"/>
          <w:highlight w:val="none"/>
        </w:rPr>
        <w:fldChar w:fldCharType="begin"/>
      </w:r>
      <w:r>
        <w:rPr>
          <w:color w:val="auto"/>
          <w:highlight w:val="none"/>
        </w:rPr>
        <w:instrText xml:space="preserve"> HYPERLINK \l "_Toc83732593"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第五章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合同书</w:t>
      </w:r>
      <w:r>
        <w:rPr>
          <w:rStyle w:val="42"/>
          <w:rFonts w:hint="eastAsia" w:asciiTheme="majorEastAsia" w:hAnsiTheme="majorEastAsia" w:eastAsiaTheme="majorEastAsia"/>
          <w:b w:val="0"/>
          <w:color w:val="auto"/>
          <w:sz w:val="28"/>
          <w:highlight w:val="none"/>
          <w:lang w:val="en-US" w:eastAsia="zh-CN"/>
        </w:rPr>
        <w:t>主要条款</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_Toc83732593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- 21 -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pStyle w:val="28"/>
        <w:tabs>
          <w:tab w:val="right" w:leader="dot" w:pos="8296"/>
        </w:tabs>
        <w:rPr>
          <w:rFonts w:asciiTheme="majorEastAsia" w:hAnsiTheme="majorEastAsia" w:eastAsiaTheme="majorEastAsia" w:cstheme="minorBidi"/>
          <w:b w:val="0"/>
          <w:color w:val="auto"/>
          <w:sz w:val="24"/>
          <w:highlight w:val="none"/>
        </w:rPr>
      </w:pPr>
      <w:r>
        <w:rPr>
          <w:color w:val="auto"/>
          <w:highlight w:val="none"/>
        </w:rPr>
        <w:fldChar w:fldCharType="begin"/>
      </w:r>
      <w:r>
        <w:rPr>
          <w:color w:val="auto"/>
          <w:highlight w:val="none"/>
        </w:rPr>
        <w:instrText xml:space="preserve"> HYPERLINK \l "_Toc83732594" </w:instrText>
      </w:r>
      <w:r>
        <w:rPr>
          <w:color w:val="auto"/>
          <w:highlight w:val="none"/>
        </w:rPr>
        <w:fldChar w:fldCharType="separate"/>
      </w:r>
      <w:r>
        <w:rPr>
          <w:rStyle w:val="42"/>
          <w:rFonts w:hint="eastAsia" w:asciiTheme="majorEastAsia" w:hAnsiTheme="majorEastAsia" w:eastAsiaTheme="majorEastAsia"/>
          <w:b w:val="0"/>
          <w:color w:val="auto"/>
          <w:sz w:val="28"/>
          <w:highlight w:val="none"/>
        </w:rPr>
        <w:t>第六章</w:t>
      </w:r>
      <w:r>
        <w:rPr>
          <w:rStyle w:val="42"/>
          <w:rFonts w:asciiTheme="majorEastAsia" w:hAnsiTheme="majorEastAsia" w:eastAsiaTheme="majorEastAsia"/>
          <w:b w:val="0"/>
          <w:color w:val="auto"/>
          <w:sz w:val="28"/>
          <w:highlight w:val="none"/>
        </w:rPr>
        <w:t xml:space="preserve">  </w:t>
      </w:r>
      <w:r>
        <w:rPr>
          <w:rStyle w:val="42"/>
          <w:rFonts w:hint="eastAsia" w:asciiTheme="majorEastAsia" w:hAnsiTheme="majorEastAsia" w:eastAsiaTheme="majorEastAsia"/>
          <w:b w:val="0"/>
          <w:color w:val="auto"/>
          <w:sz w:val="28"/>
          <w:highlight w:val="none"/>
        </w:rPr>
        <w:t>响应文件格式</w:t>
      </w:r>
      <w:r>
        <w:rPr>
          <w:rFonts w:asciiTheme="majorEastAsia" w:hAnsiTheme="majorEastAsia" w:eastAsiaTheme="majorEastAsia"/>
          <w:b w:val="0"/>
          <w:color w:val="auto"/>
          <w:sz w:val="28"/>
          <w:highlight w:val="none"/>
        </w:rPr>
        <w:tab/>
      </w:r>
      <w:r>
        <w:rPr>
          <w:rFonts w:asciiTheme="majorEastAsia" w:hAnsiTheme="majorEastAsia" w:eastAsiaTheme="majorEastAsia"/>
          <w:b w:val="0"/>
          <w:color w:val="auto"/>
          <w:sz w:val="28"/>
          <w:highlight w:val="none"/>
        </w:rPr>
        <w:fldChar w:fldCharType="begin"/>
      </w:r>
      <w:r>
        <w:rPr>
          <w:rFonts w:asciiTheme="majorEastAsia" w:hAnsiTheme="majorEastAsia" w:eastAsiaTheme="majorEastAsia"/>
          <w:b w:val="0"/>
          <w:color w:val="auto"/>
          <w:sz w:val="28"/>
          <w:highlight w:val="none"/>
        </w:rPr>
        <w:instrText xml:space="preserve"> PAGEREF _Toc83732594 \h </w:instrText>
      </w:r>
      <w:r>
        <w:rPr>
          <w:rFonts w:asciiTheme="majorEastAsia" w:hAnsiTheme="majorEastAsia" w:eastAsiaTheme="majorEastAsia"/>
          <w:b w:val="0"/>
          <w:color w:val="auto"/>
          <w:sz w:val="28"/>
          <w:highlight w:val="none"/>
        </w:rPr>
        <w:fldChar w:fldCharType="separate"/>
      </w:r>
      <w:r>
        <w:rPr>
          <w:rFonts w:asciiTheme="majorEastAsia" w:hAnsiTheme="majorEastAsia" w:eastAsiaTheme="majorEastAsia"/>
          <w:b w:val="0"/>
          <w:color w:val="auto"/>
          <w:sz w:val="28"/>
          <w:highlight w:val="none"/>
        </w:rPr>
        <w:t>- 26 -</w:t>
      </w:r>
      <w:r>
        <w:rPr>
          <w:rFonts w:asciiTheme="majorEastAsia" w:hAnsiTheme="majorEastAsia" w:eastAsiaTheme="majorEastAsia"/>
          <w:b w:val="0"/>
          <w:color w:val="auto"/>
          <w:sz w:val="28"/>
          <w:highlight w:val="none"/>
        </w:rPr>
        <w:fldChar w:fldCharType="end"/>
      </w:r>
      <w:r>
        <w:rPr>
          <w:rFonts w:asciiTheme="majorEastAsia" w:hAnsiTheme="majorEastAsia" w:eastAsiaTheme="majorEastAsia"/>
          <w:b w:val="0"/>
          <w:color w:val="auto"/>
          <w:sz w:val="28"/>
          <w:highlight w:val="none"/>
        </w:rPr>
        <w:fldChar w:fldCharType="end"/>
      </w:r>
    </w:p>
    <w:p>
      <w:pPr>
        <w:ind w:firstLine="480"/>
        <w:rPr>
          <w:rFonts w:asciiTheme="minorEastAsia" w:hAnsiTheme="minorEastAsia" w:eastAsiaTheme="minorEastAsia"/>
          <w:color w:val="auto"/>
          <w:sz w:val="44"/>
          <w:szCs w:val="44"/>
          <w:highlight w:val="none"/>
        </w:rPr>
      </w:pPr>
      <w:r>
        <w:rPr>
          <w:rFonts w:asciiTheme="majorEastAsia" w:hAnsiTheme="majorEastAsia" w:eastAsiaTheme="majorEastAsia"/>
          <w:color w:val="auto"/>
          <w:sz w:val="24"/>
          <w:szCs w:val="24"/>
          <w:highlight w:val="none"/>
        </w:rPr>
        <w:fldChar w:fldCharType="end"/>
      </w:r>
    </w:p>
    <w:p>
      <w:pPr>
        <w:pStyle w:val="7"/>
        <w:rPr>
          <w:rFonts w:asciiTheme="minorEastAsia" w:hAnsiTheme="minorEastAsia" w:eastAsiaTheme="minorEastAsia"/>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pStyle w:val="7"/>
        <w:rPr>
          <w:rFonts w:asciiTheme="minorEastAsia" w:hAnsiTheme="minorEastAsia" w:eastAsiaTheme="minorEastAsia"/>
          <w:color w:val="auto"/>
          <w:highlight w:val="none"/>
        </w:rPr>
      </w:pPr>
      <w:bookmarkStart w:id="0" w:name="_Toc83732589"/>
      <w:r>
        <w:rPr>
          <w:rFonts w:asciiTheme="minorEastAsia" w:hAnsiTheme="minorEastAsia" w:eastAsiaTheme="minorEastAsia"/>
          <w:color w:val="auto"/>
          <w:highlight w:val="none"/>
        </w:rPr>
        <w:t>第一章</w:t>
      </w:r>
      <w:r>
        <w:rPr>
          <w:rFonts w:hint="eastAsia" w:asciiTheme="minorEastAsia" w:hAnsiTheme="minorEastAsia" w:eastAsiaTheme="minorEastAsia"/>
          <w:color w:val="auto"/>
          <w:highlight w:val="none"/>
        </w:rPr>
        <w:t xml:space="preserve">  竞争性</w:t>
      </w:r>
      <w:r>
        <w:rPr>
          <w:rFonts w:asciiTheme="minorEastAsia" w:hAnsiTheme="minorEastAsia" w:eastAsiaTheme="minorEastAsia"/>
          <w:color w:val="auto"/>
          <w:highlight w:val="none"/>
        </w:rPr>
        <w:t>谈判</w:t>
      </w:r>
      <w:r>
        <w:rPr>
          <w:rFonts w:hint="eastAsia" w:asciiTheme="minorEastAsia" w:hAnsiTheme="minorEastAsia" w:eastAsiaTheme="minorEastAsia"/>
          <w:color w:val="auto"/>
          <w:highlight w:val="none"/>
        </w:rPr>
        <w:t>公告</w:t>
      </w:r>
      <w:bookmarkEnd w:id="0"/>
    </w:p>
    <w:p>
      <w:pPr>
        <w:pStyle w:val="23"/>
        <w:numPr>
          <w:ilvl w:val="0"/>
          <w:numId w:val="3"/>
        </w:numPr>
        <w:spacing w:line="360" w:lineRule="auto"/>
        <w:ind w:firstLine="422" w:firstLineChars="200"/>
        <w:rPr>
          <w:rFonts w:hint="eastAsia" w:cs="宋体" w:asciiTheme="minorEastAsia" w:hAnsiTheme="minorEastAsia" w:eastAsiaTheme="minorEastAsia"/>
          <w:b/>
          <w:bCs/>
          <w:color w:val="auto"/>
          <w:highlight w:val="none"/>
        </w:rPr>
      </w:pPr>
      <w:r>
        <w:rPr>
          <w:rFonts w:hint="eastAsia" w:cs="宋体" w:asciiTheme="minorEastAsia" w:hAnsiTheme="minorEastAsia" w:eastAsiaTheme="minorEastAsia"/>
          <w:b/>
          <w:bCs/>
          <w:color w:val="auto"/>
          <w:highlight w:val="none"/>
        </w:rPr>
        <w:t>项目基本情况</w:t>
      </w:r>
    </w:p>
    <w:p>
      <w:pPr>
        <w:pStyle w:val="23"/>
        <w:numPr>
          <w:ilvl w:val="0"/>
          <w:numId w:val="0"/>
        </w:numPr>
        <w:spacing w:line="360" w:lineRule="auto"/>
        <w:ind w:firstLine="420" w:firstLineChars="200"/>
        <w:rPr>
          <w:rFonts w:cs="宋体" w:asciiTheme="minorEastAsia" w:hAnsiTheme="minorEastAsia" w:eastAsiaTheme="minorEastAsia"/>
          <w:b/>
          <w:bCs/>
          <w:color w:val="auto"/>
          <w:highlight w:val="none"/>
        </w:rPr>
      </w:pPr>
      <w:r>
        <w:rPr>
          <w:rFonts w:hint="eastAsia" w:cs="宋体" w:asciiTheme="minorEastAsia" w:hAnsiTheme="minorEastAsia" w:eastAsiaTheme="minorEastAsia"/>
          <w:color w:val="auto"/>
          <w:kern w:val="2"/>
          <w:sz w:val="21"/>
          <w:szCs w:val="21"/>
          <w:highlight w:val="none"/>
          <w:lang w:val="en-US" w:eastAsia="zh-CN" w:bidi="ar-SA"/>
        </w:rPr>
        <w:t>湖北省鄂东云计算技术服务有限公司因业务发展需要，就</w:t>
      </w:r>
      <w:r>
        <w:rPr>
          <w:rFonts w:hint="eastAsia" w:cs="宋体" w:asciiTheme="minorEastAsia" w:hAnsiTheme="minorEastAsia" w:eastAsiaTheme="minorEastAsia"/>
          <w:color w:val="auto"/>
          <w:highlight w:val="none"/>
          <w:lang w:eastAsia="zh-CN"/>
        </w:rPr>
        <w:t>鄂东云互联网专线采购项目</w:t>
      </w:r>
      <w:r>
        <w:rPr>
          <w:rFonts w:hint="eastAsia" w:cs="宋体" w:asciiTheme="minorEastAsia" w:hAnsiTheme="minorEastAsia" w:eastAsiaTheme="minorEastAsia"/>
          <w:color w:val="auto"/>
          <w:highlight w:val="none"/>
          <w:lang w:val="en-US" w:eastAsia="zh-CN"/>
        </w:rPr>
        <w:t>采用竞争性谈判方式</w:t>
      </w:r>
      <w:r>
        <w:rPr>
          <w:rFonts w:hint="eastAsia" w:cs="宋体" w:asciiTheme="minorEastAsia" w:hAnsiTheme="minorEastAsia" w:eastAsiaTheme="minorEastAsia"/>
          <w:color w:val="auto"/>
          <w:kern w:val="2"/>
          <w:sz w:val="21"/>
          <w:szCs w:val="21"/>
          <w:highlight w:val="none"/>
          <w:lang w:val="en-US" w:eastAsia="zh-CN" w:bidi="ar-SA"/>
        </w:rPr>
        <w:t>采购，欢迎符合资格条件供应商参加本次采购活动。</w:t>
      </w:r>
    </w:p>
    <w:p>
      <w:pPr>
        <w:spacing w:line="400" w:lineRule="exact"/>
        <w:ind w:firstLine="420"/>
        <w:rPr>
          <w:rFonts w:hint="default" w:cs="宋体" w:asciiTheme="minorEastAsia" w:hAnsiTheme="minorEastAsia" w:eastAsiaTheme="minorEastAsia"/>
          <w:color w:val="auto"/>
          <w:highlight w:val="none"/>
          <w:lang w:val="en-US"/>
        </w:rPr>
      </w:pPr>
      <w:r>
        <w:rPr>
          <w:rFonts w:hint="eastAsia" w:cs="宋体" w:asciiTheme="minorEastAsia" w:hAnsiTheme="minorEastAsia" w:eastAsiaTheme="minorEastAsia"/>
          <w:color w:val="auto"/>
          <w:highlight w:val="none"/>
        </w:rPr>
        <w:t>1、项目编号：</w:t>
      </w:r>
      <w:r>
        <w:rPr>
          <w:rFonts w:hint="eastAsia" w:cs="宋体" w:asciiTheme="minorEastAsia" w:hAnsiTheme="minorEastAsia" w:eastAsiaTheme="minorEastAsia"/>
          <w:color w:val="auto"/>
          <w:highlight w:val="none"/>
          <w:lang w:val="en-US" w:eastAsia="zh-CN"/>
        </w:rPr>
        <w:t>EDY-HLWZXCG-20221108</w:t>
      </w:r>
    </w:p>
    <w:p>
      <w:pPr>
        <w:spacing w:line="400" w:lineRule="exact"/>
        <w:ind w:firstLine="42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2、项目名称：</w:t>
      </w:r>
      <w:r>
        <w:rPr>
          <w:rFonts w:hint="eastAsia" w:cs="宋体" w:asciiTheme="minorEastAsia" w:hAnsiTheme="minorEastAsia" w:eastAsiaTheme="minorEastAsia"/>
          <w:color w:val="auto"/>
          <w:highlight w:val="none"/>
          <w:lang w:eastAsia="zh-CN"/>
        </w:rPr>
        <w:t>鄂东云互联网专线采购项目</w:t>
      </w:r>
    </w:p>
    <w:p>
      <w:pPr>
        <w:tabs>
          <w:tab w:val="left" w:pos="4357"/>
        </w:tabs>
        <w:spacing w:line="400" w:lineRule="exact"/>
        <w:ind w:firstLine="42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3、采购方式：竞争性谈判</w:t>
      </w:r>
    </w:p>
    <w:p>
      <w:pPr>
        <w:spacing w:line="400" w:lineRule="exact"/>
        <w:ind w:firstLine="420"/>
        <w:rPr>
          <w:rFonts w:hint="default" w:asciiTheme="minorEastAsia" w:hAnsiTheme="minorEastAsia" w:eastAsiaTheme="minorEastAsia"/>
          <w:color w:val="auto"/>
          <w:highlight w:val="none"/>
          <w:lang w:val="en-US" w:eastAsia="zh-CN" w:bidi="en-US"/>
        </w:rPr>
      </w:pPr>
      <w:r>
        <w:rPr>
          <w:rFonts w:hint="eastAsia" w:asciiTheme="minorEastAsia" w:hAnsiTheme="minorEastAsia" w:eastAsiaTheme="minorEastAsia"/>
          <w:color w:val="auto"/>
          <w:highlight w:val="none"/>
          <w:lang w:val="en-US" w:eastAsia="zh-CN"/>
        </w:rPr>
        <w:t>4</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采购控制价</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bidi="en-US"/>
        </w:rPr>
        <w:t>70000元/年/条，超过采购控制价视无效报价</w:t>
      </w:r>
    </w:p>
    <w:p>
      <w:pPr>
        <w:spacing w:line="400" w:lineRule="exact"/>
        <w:ind w:firstLine="420"/>
        <w:rPr>
          <w:rFonts w:hint="default" w:asciiTheme="minorEastAsia" w:hAnsiTheme="minorEastAsia" w:eastAsiaTheme="minorEastAsia"/>
          <w:color w:val="auto"/>
          <w:highlight w:val="none"/>
          <w:lang w:val="en-US" w:eastAsia="zh-CN" w:bidi="en-US"/>
        </w:rPr>
      </w:pPr>
      <w:r>
        <w:rPr>
          <w:rFonts w:hint="eastAsia" w:cs="宋体" w:asciiTheme="minorEastAsia" w:hAnsiTheme="minorEastAsia" w:eastAsiaTheme="minorEastAsia"/>
          <w:color w:val="auto"/>
          <w:highlight w:val="none"/>
          <w:lang w:val="en-US" w:eastAsia="zh-CN"/>
        </w:rPr>
        <w:t>5</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en-US" w:eastAsia="zh-CN"/>
        </w:rPr>
        <w:t>服务范围</w:t>
      </w:r>
      <w:r>
        <w:rPr>
          <w:rFonts w:hint="eastAsia" w:asciiTheme="minorEastAsia" w:hAnsiTheme="minorEastAsia" w:eastAsiaTheme="minorEastAsia"/>
          <w:color w:val="auto"/>
          <w:highlight w:val="none"/>
          <w:lang w:bidi="en-US"/>
        </w:rPr>
        <w:t>：</w:t>
      </w:r>
      <w:r>
        <w:rPr>
          <w:rFonts w:hint="eastAsia" w:asciiTheme="minorEastAsia" w:hAnsiTheme="minorEastAsia" w:eastAsiaTheme="minorEastAsia"/>
          <w:color w:val="auto"/>
          <w:highlight w:val="none"/>
          <w:lang w:val="en-US" w:eastAsia="zh-CN" w:bidi="en-US"/>
        </w:rPr>
        <w:t>500M互联网专线以及50个公网IP地址。</w:t>
      </w:r>
    </w:p>
    <w:p>
      <w:pPr>
        <w:spacing w:line="400" w:lineRule="exact"/>
        <w:ind w:firstLine="420"/>
        <w:rPr>
          <w:rFonts w:hint="eastAsia" w:asciiTheme="minorEastAsia" w:hAnsiTheme="minorEastAsia" w:eastAsiaTheme="minorEastAsia"/>
          <w:color w:val="auto"/>
          <w:highlight w:val="none"/>
          <w:lang w:bidi="en-US"/>
        </w:rPr>
      </w:pPr>
      <w:r>
        <w:rPr>
          <w:rFonts w:hint="eastAsia" w:asciiTheme="minorEastAsia" w:hAnsiTheme="minorEastAsia" w:eastAsiaTheme="minorEastAsia"/>
          <w:color w:val="auto"/>
          <w:highlight w:val="none"/>
          <w:lang w:val="en-US" w:eastAsia="zh-CN" w:bidi="en-US"/>
        </w:rPr>
        <w:t>6</w:t>
      </w:r>
      <w:r>
        <w:rPr>
          <w:rFonts w:hint="eastAsia" w:asciiTheme="minorEastAsia" w:hAnsiTheme="minorEastAsia" w:eastAsiaTheme="minorEastAsia"/>
          <w:color w:val="auto"/>
          <w:highlight w:val="none"/>
          <w:lang w:bidi="en-US"/>
        </w:rPr>
        <w:t>、</w:t>
      </w:r>
      <w:r>
        <w:rPr>
          <w:rFonts w:hint="eastAsia" w:asciiTheme="minorEastAsia" w:hAnsiTheme="minorEastAsia" w:eastAsiaTheme="minorEastAsia"/>
          <w:color w:val="auto"/>
          <w:highlight w:val="none"/>
          <w:lang w:val="en-US" w:eastAsia="zh-CN" w:bidi="en-US"/>
        </w:rPr>
        <w:t>合同履行期</w:t>
      </w:r>
      <w:r>
        <w:rPr>
          <w:rFonts w:hint="eastAsia" w:asciiTheme="minorEastAsia" w:hAnsiTheme="minorEastAsia" w:eastAsiaTheme="minorEastAsia"/>
          <w:color w:val="auto"/>
          <w:highlight w:val="none"/>
          <w:lang w:bidi="en-US"/>
        </w:rPr>
        <w:t>：</w:t>
      </w: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起1年</w:t>
      </w:r>
      <w:r>
        <w:rPr>
          <w:rFonts w:hint="eastAsia" w:asciiTheme="minorEastAsia" w:hAnsiTheme="minorEastAsia" w:eastAsiaTheme="minorEastAsia"/>
          <w:color w:val="auto"/>
          <w:highlight w:val="none"/>
          <w:lang w:bidi="en-US"/>
        </w:rPr>
        <w:t>。</w:t>
      </w:r>
    </w:p>
    <w:p>
      <w:pPr>
        <w:spacing w:line="400" w:lineRule="exact"/>
        <w:ind w:firstLine="420"/>
        <w:rPr>
          <w:rFonts w:hint="default" w:asciiTheme="minorEastAsia" w:hAnsiTheme="minorEastAsia" w:eastAsiaTheme="minorEastAsia"/>
          <w:color w:val="auto"/>
          <w:highlight w:val="none"/>
          <w:lang w:val="en-US" w:eastAsia="zh-CN" w:bidi="en-US"/>
        </w:rPr>
      </w:pPr>
      <w:r>
        <w:rPr>
          <w:rFonts w:hint="eastAsia" w:asciiTheme="minorEastAsia" w:hAnsiTheme="minorEastAsia" w:eastAsiaTheme="minorEastAsia"/>
          <w:color w:val="auto"/>
          <w:highlight w:val="none"/>
          <w:lang w:val="en-US" w:eastAsia="zh-CN" w:bidi="en-US"/>
        </w:rPr>
        <w:t>7、成果交付日期：</w:t>
      </w: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起10日内完成互联网专线开通工作以及交付公网IP地址。</w:t>
      </w:r>
    </w:p>
    <w:p>
      <w:pPr>
        <w:spacing w:line="400" w:lineRule="exact"/>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8</w:t>
      </w:r>
      <w:r>
        <w:rPr>
          <w:rFonts w:asciiTheme="minorEastAsia" w:hAnsiTheme="minorEastAsia" w:eastAsiaTheme="minorEastAsia"/>
          <w:bCs/>
          <w:color w:val="auto"/>
          <w:highlight w:val="none"/>
        </w:rPr>
        <w:t>、本项目（是/否）接受联合体</w:t>
      </w:r>
      <w:r>
        <w:rPr>
          <w:rFonts w:hint="eastAsia" w:asciiTheme="minorEastAsia" w:hAnsiTheme="minorEastAsia" w:eastAsiaTheme="minorEastAsia"/>
          <w:bCs/>
          <w:color w:val="auto"/>
          <w:highlight w:val="none"/>
        </w:rPr>
        <w:t>响应</w:t>
      </w:r>
      <w:r>
        <w:rPr>
          <w:rFonts w:asciiTheme="minorEastAsia" w:hAnsiTheme="minorEastAsia" w:eastAsiaTheme="minorEastAsia"/>
          <w:bCs/>
          <w:color w:val="auto"/>
          <w:highlight w:val="none"/>
        </w:rPr>
        <w:t>：否</w:t>
      </w:r>
    </w:p>
    <w:p>
      <w:pPr>
        <w:spacing w:line="400" w:lineRule="exact"/>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二、申请人的资格要求：</w:t>
      </w:r>
    </w:p>
    <w:p>
      <w:pPr>
        <w:spacing w:line="400" w:lineRule="exact"/>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基本要求</w:t>
      </w:r>
      <w:r>
        <w:rPr>
          <w:rFonts w:asciiTheme="minorEastAsia" w:hAnsiTheme="minorEastAsia" w:eastAsiaTheme="minorEastAsia"/>
          <w:color w:val="auto"/>
          <w:highlight w:val="none"/>
        </w:rPr>
        <w:t>：</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1）具有独立承担民事责任的能力；</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2</w:t>
      </w:r>
      <w:r>
        <w:rPr>
          <w:rFonts w:asciiTheme="minorEastAsia" w:hAnsiTheme="minorEastAsia" w:eastAsiaTheme="minorEastAsia"/>
          <w:color w:val="auto"/>
          <w:highlight w:val="none"/>
        </w:rPr>
        <w:t>）具有履行合同所必需的设备和专业技术能力；</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）参加采购活动前三年内，在经营活动中没有重大违法记录；</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4</w:t>
      </w:r>
      <w:r>
        <w:rPr>
          <w:rFonts w:asciiTheme="minorEastAsia" w:hAnsiTheme="minorEastAsia" w:eastAsiaTheme="minorEastAsia"/>
          <w:color w:val="auto"/>
          <w:highlight w:val="none"/>
        </w:rPr>
        <w:t>）法律、行政法规规定的其他条件。</w:t>
      </w:r>
    </w:p>
    <w:p>
      <w:pPr>
        <w:spacing w:line="400" w:lineRule="exact"/>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2、单位负责人为同一人或者存在直接控股、管理关系的不同供应商，不得参加本项目同一合同项下的采购活动。</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w:t>
      </w:r>
      <w:r>
        <w:rPr>
          <w:rFonts w:hint="eastAsia" w:asciiTheme="minorEastAsia" w:hAnsiTheme="minorEastAsia" w:eastAsiaTheme="minorEastAsia"/>
          <w:color w:val="auto"/>
          <w:highlight w:val="none"/>
        </w:rPr>
        <w:t>、未被“中国执行信息公开网”列入失信被执行人、未被“信用中国”列入重大税收违法案件当事人名单和政府采购严重违法失信行为记录名单。（供应商须自公告发布之日起自行在网上查询，并将查询结果截图加盖公章放入响应文件，以开标当天查询结果为准）</w:t>
      </w:r>
      <w:r>
        <w:rPr>
          <w:rFonts w:asciiTheme="minorEastAsia" w:hAnsiTheme="minorEastAsia" w:eastAsiaTheme="minorEastAsia"/>
          <w:color w:val="auto"/>
          <w:highlight w:val="none"/>
        </w:rPr>
        <w:t>。</w:t>
      </w:r>
    </w:p>
    <w:p>
      <w:pPr>
        <w:spacing w:line="400" w:lineRule="exact"/>
        <w:ind w:firstLine="42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4</w:t>
      </w:r>
      <w:r>
        <w:rPr>
          <w:rFonts w:hint="eastAsia" w:asciiTheme="minorEastAsia" w:hAnsiTheme="minorEastAsia" w:eastAsiaTheme="minorEastAsia"/>
          <w:color w:val="auto"/>
          <w:highlight w:val="none"/>
        </w:rPr>
        <w:t>、供应商近</w:t>
      </w:r>
      <w:r>
        <w:rPr>
          <w:rFonts w:asciiTheme="minorEastAsia" w:hAnsiTheme="minorEastAsia" w:eastAsiaTheme="minorEastAsia"/>
          <w:color w:val="auto"/>
          <w:highlight w:val="none"/>
        </w:rPr>
        <w:t>3年(</w:t>
      </w:r>
      <w:r>
        <w:rPr>
          <w:rFonts w:hint="eastAsia" w:asciiTheme="minorEastAsia" w:hAnsiTheme="minorEastAsia" w:eastAsiaTheme="minorEastAsia"/>
          <w:color w:val="auto"/>
          <w:highlight w:val="none"/>
        </w:rPr>
        <w:t>公告</w:t>
      </w:r>
      <w:r>
        <w:rPr>
          <w:rFonts w:asciiTheme="minorEastAsia" w:hAnsiTheme="minorEastAsia" w:eastAsiaTheme="minorEastAsia"/>
          <w:color w:val="auto"/>
          <w:highlight w:val="none"/>
        </w:rPr>
        <w:t>发布之日起往前推)没有行贿犯罪记录，供应商自行在中国裁判文书网“ http://wenshu.court.gov.cn/”查询，并提供网页截图。</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5</w:t>
      </w:r>
      <w:r>
        <w:rPr>
          <w:rFonts w:hint="eastAsia" w:asciiTheme="minorEastAsia" w:hAnsiTheme="minorEastAsia" w:eastAsiaTheme="minorEastAsia"/>
          <w:color w:val="auto"/>
          <w:highlight w:val="none"/>
        </w:rPr>
        <w:t>、本项目不接受联合体投标。</w:t>
      </w:r>
    </w:p>
    <w:p>
      <w:pPr>
        <w:spacing w:line="400" w:lineRule="exact"/>
        <w:ind w:firstLine="422"/>
        <w:rPr>
          <w:rFonts w:cs="宋体" w:asciiTheme="minorEastAsia" w:hAnsiTheme="minorEastAsia" w:eastAsiaTheme="minorEastAsia"/>
          <w:b/>
          <w:color w:val="auto"/>
          <w:kern w:val="0"/>
          <w:highlight w:val="none"/>
        </w:rPr>
      </w:pPr>
      <w:r>
        <w:rPr>
          <w:rFonts w:hint="eastAsia" w:cs="宋体" w:asciiTheme="minorEastAsia" w:hAnsiTheme="minorEastAsia" w:eastAsiaTheme="minorEastAsia"/>
          <w:b/>
          <w:color w:val="auto"/>
          <w:kern w:val="0"/>
          <w:highlight w:val="none"/>
        </w:rPr>
        <w:t>注：具体资格证明办法详见采购文件第四章“</w:t>
      </w:r>
      <w:r>
        <w:rPr>
          <w:rFonts w:cs="宋体" w:asciiTheme="minorEastAsia" w:hAnsiTheme="minorEastAsia" w:eastAsiaTheme="minorEastAsia"/>
          <w:b/>
          <w:color w:val="auto"/>
          <w:kern w:val="0"/>
          <w:highlight w:val="none"/>
        </w:rPr>
        <w:t>评审办法</w:t>
      </w:r>
      <w:r>
        <w:rPr>
          <w:rFonts w:hint="eastAsia" w:cs="宋体" w:asciiTheme="minorEastAsia" w:hAnsiTheme="minorEastAsia" w:eastAsiaTheme="minorEastAsia"/>
          <w:b/>
          <w:color w:val="auto"/>
          <w:kern w:val="0"/>
          <w:highlight w:val="none"/>
        </w:rPr>
        <w:t>”。</w:t>
      </w:r>
    </w:p>
    <w:p>
      <w:pPr>
        <w:spacing w:line="400" w:lineRule="exact"/>
        <w:ind w:firstLine="422"/>
        <w:rPr>
          <w:rFonts w:hint="default" w:asciiTheme="minorEastAsia" w:hAnsiTheme="minorEastAsia" w:eastAsiaTheme="minorEastAsia"/>
          <w:b/>
          <w:color w:val="auto"/>
          <w:highlight w:val="none"/>
          <w:lang w:val="en-US" w:eastAsia="zh-CN"/>
        </w:rPr>
      </w:pPr>
      <w:r>
        <w:rPr>
          <w:rFonts w:hint="eastAsia" w:asciiTheme="minorEastAsia" w:hAnsiTheme="minorEastAsia" w:eastAsiaTheme="minorEastAsia"/>
          <w:b/>
          <w:color w:val="auto"/>
          <w:highlight w:val="none"/>
        </w:rPr>
        <w:t>三、获取采购文件</w:t>
      </w:r>
      <w:r>
        <w:rPr>
          <w:rFonts w:hint="eastAsia" w:asciiTheme="minorEastAsia" w:hAnsiTheme="minorEastAsia" w:eastAsiaTheme="minorEastAsia"/>
          <w:b/>
          <w:color w:val="auto"/>
          <w:highlight w:val="none"/>
          <w:lang w:val="en-US" w:eastAsia="zh-CN"/>
        </w:rPr>
        <w:t>及报名</w:t>
      </w:r>
    </w:p>
    <w:p>
      <w:pPr>
        <w:spacing w:line="400" w:lineRule="exact"/>
        <w:ind w:firstLine="420"/>
        <w:rPr>
          <w:rFonts w:hint="eastAsia"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时间：即日起至2022年</w:t>
      </w:r>
      <w:r>
        <w:rPr>
          <w:rFonts w:hint="eastAsia" w:asciiTheme="minorEastAsia" w:hAnsiTheme="minorEastAsia" w:eastAsiaTheme="minorEastAsia"/>
          <w:color w:val="auto"/>
          <w:highlight w:val="none"/>
          <w:lang w:val="en-US" w:eastAsia="zh-CN"/>
        </w:rPr>
        <w:t>11</w:t>
      </w:r>
      <w:r>
        <w:rPr>
          <w:rFonts w:hint="eastAsia" w:asciiTheme="minorEastAsia" w:hAnsiTheme="minorEastAsia" w:eastAsiaTheme="minorEastAsia"/>
          <w:color w:val="auto"/>
          <w:highlight w:val="none"/>
          <w:lang w:val="zh-CN"/>
        </w:rPr>
        <w:t>月</w:t>
      </w:r>
      <w:r>
        <w:rPr>
          <w:rFonts w:hint="eastAsia" w:asciiTheme="minorEastAsia" w:hAnsiTheme="minorEastAsia" w:eastAsiaTheme="minorEastAsia"/>
          <w:color w:val="auto"/>
          <w:highlight w:val="none"/>
          <w:lang w:val="en-US" w:eastAsia="zh-CN"/>
        </w:rPr>
        <w:t>14</w:t>
      </w:r>
      <w:r>
        <w:rPr>
          <w:rFonts w:hint="eastAsia" w:asciiTheme="minorEastAsia" w:hAnsiTheme="minorEastAsia" w:eastAsiaTheme="minorEastAsia"/>
          <w:color w:val="auto"/>
          <w:highlight w:val="none"/>
          <w:lang w:val="zh-CN"/>
        </w:rPr>
        <w:t>日 24 时00分止（北京时间）。</w:t>
      </w:r>
    </w:p>
    <w:p>
      <w:pPr>
        <w:spacing w:line="400" w:lineRule="exact"/>
        <w:ind w:firstLine="420"/>
        <w:rPr>
          <w:rFonts w:hint="default"/>
          <w:color w:val="auto"/>
          <w:highlight w:val="none"/>
          <w:u w:val="single"/>
          <w:lang w:val="en-US" w:eastAsia="zh-CN"/>
        </w:rPr>
      </w:pPr>
      <w:r>
        <w:rPr>
          <w:rFonts w:hint="eastAsia" w:asciiTheme="minorEastAsia" w:hAnsiTheme="minorEastAsia" w:eastAsiaTheme="minorEastAsia"/>
          <w:color w:val="auto"/>
          <w:highlight w:val="none"/>
          <w:lang w:val="zh-CN"/>
        </w:rPr>
        <w:t>地点：登录</w:t>
      </w:r>
      <w:r>
        <w:rPr>
          <w:rFonts w:hint="eastAsia" w:asciiTheme="minorEastAsia" w:hAnsiTheme="minorEastAsia" w:eastAsiaTheme="minorEastAsia"/>
          <w:color w:val="auto"/>
          <w:highlight w:val="none"/>
          <w:u w:val="none"/>
        </w:rPr>
        <w:t>《黄石市国有资产经营有限公司网站》</w:t>
      </w:r>
      <w:r>
        <w:rPr>
          <w:rFonts w:hint="eastAsia" w:asciiTheme="minorEastAsia" w:hAnsiTheme="minorEastAsia" w:eastAsiaTheme="minorEastAsia"/>
          <w:color w:val="auto"/>
          <w:highlight w:val="none"/>
          <w:lang w:val="zh-CN"/>
        </w:rPr>
        <w:t>下载</w:t>
      </w:r>
      <w:r>
        <w:rPr>
          <w:rFonts w:hint="eastAsia" w:asciiTheme="minorEastAsia" w:hAnsiTheme="minorEastAsia" w:eastAsiaTheme="minorEastAsia"/>
          <w:color w:val="auto"/>
          <w:highlight w:val="none"/>
          <w:u w:val="single"/>
          <w:lang w:val="en-US" w:eastAsia="zh-CN"/>
        </w:rPr>
        <w:t>竞争性谈判</w:t>
      </w:r>
      <w:r>
        <w:rPr>
          <w:rFonts w:hint="eastAsia" w:asciiTheme="minorEastAsia" w:hAnsiTheme="minorEastAsia" w:eastAsiaTheme="minorEastAsia"/>
          <w:color w:val="auto"/>
          <w:highlight w:val="none"/>
          <w:u w:val="single"/>
          <w:lang w:val="zh-CN"/>
        </w:rPr>
        <w:t>文件</w:t>
      </w:r>
      <w:r>
        <w:rPr>
          <w:rFonts w:hint="eastAsia" w:asciiTheme="minorEastAsia" w:hAnsiTheme="minorEastAsia" w:eastAsiaTheme="minorEastAsia"/>
          <w:color w:val="auto"/>
          <w:highlight w:val="none"/>
          <w:lang w:val="en-US" w:eastAsia="zh-CN"/>
        </w:rPr>
        <w:t>和</w:t>
      </w:r>
      <w:r>
        <w:rPr>
          <w:rFonts w:hint="eastAsia" w:asciiTheme="minorEastAsia" w:hAnsiTheme="minorEastAsia" w:eastAsiaTheme="minorEastAsia"/>
          <w:color w:val="auto"/>
          <w:highlight w:val="none"/>
          <w:u w:val="single"/>
          <w:lang w:val="en-US" w:eastAsia="zh-CN"/>
        </w:rPr>
        <w:t>报名表</w:t>
      </w:r>
      <w:r>
        <w:rPr>
          <w:rFonts w:hint="eastAsia" w:asciiTheme="minorEastAsia" w:hAnsiTheme="minorEastAsia" w:eastAsiaTheme="minorEastAsia"/>
          <w:color w:val="auto"/>
          <w:highlight w:val="none"/>
          <w:lang w:val="zh-CN"/>
        </w:rPr>
        <w:t>。</w:t>
      </w:r>
      <w:r>
        <w:rPr>
          <w:rFonts w:hint="eastAsia" w:asciiTheme="minorEastAsia" w:hAnsiTheme="minorEastAsia" w:eastAsiaTheme="minorEastAsia"/>
          <w:color w:val="auto"/>
          <w:highlight w:val="none"/>
          <w:u w:val="none"/>
          <w:lang w:val="en-US" w:eastAsia="zh-CN"/>
        </w:rPr>
        <w:t>并于报名截止时间前将</w:t>
      </w:r>
      <w:r>
        <w:rPr>
          <w:rFonts w:hint="eastAsia" w:asciiTheme="minorEastAsia" w:hAnsiTheme="minorEastAsia" w:eastAsiaTheme="minorEastAsia"/>
          <w:b w:val="0"/>
          <w:bCs w:val="0"/>
          <w:color w:val="auto"/>
          <w:highlight w:val="none"/>
          <w:u w:val="none"/>
          <w:lang w:val="en-US" w:eastAsia="zh-CN"/>
        </w:rPr>
        <w:t>填好的报名登记表盖章后</w:t>
      </w:r>
      <w:r>
        <w:rPr>
          <w:rFonts w:hint="eastAsia" w:asciiTheme="minorEastAsia" w:hAnsiTheme="minorEastAsia" w:eastAsiaTheme="minorEastAsia"/>
          <w:color w:val="auto"/>
          <w:highlight w:val="none"/>
          <w:u w:val="none"/>
          <w:lang w:val="en-US" w:eastAsia="zh-CN"/>
        </w:rPr>
        <w:t>，发送至邮箱</w:t>
      </w:r>
      <w:r>
        <w:rPr>
          <w:rFonts w:hint="eastAsia" w:asciiTheme="minorEastAsia" w:hAnsiTheme="minorEastAsia" w:eastAsiaTheme="minorEastAsia"/>
          <w:color w:val="auto"/>
          <w:highlight w:val="none"/>
          <w:u w:val="single"/>
          <w:lang w:val="en-US" w:eastAsia="zh-CN"/>
        </w:rPr>
        <w:t>edy-qtd@dsjhs.com</w:t>
      </w:r>
      <w:r>
        <w:rPr>
          <w:rFonts w:hint="eastAsia" w:asciiTheme="minorEastAsia" w:hAnsiTheme="minorEastAsia" w:eastAsiaTheme="minorEastAsia"/>
          <w:color w:val="auto"/>
          <w:highlight w:val="none"/>
          <w:u w:val="none"/>
          <w:lang w:val="en-US" w:eastAsia="zh-CN"/>
        </w:rPr>
        <w:t>，否者将视为无效报名。</w:t>
      </w:r>
    </w:p>
    <w:p>
      <w:pPr>
        <w:spacing w:line="400" w:lineRule="exact"/>
        <w:ind w:firstLine="422"/>
        <w:rPr>
          <w:rFonts w:cs="宋体" w:asciiTheme="minorEastAsia" w:hAnsiTheme="minorEastAsia" w:eastAsiaTheme="minorEastAsia"/>
          <w:b/>
          <w:color w:val="auto"/>
          <w:highlight w:val="none"/>
          <w:u w:val="none"/>
          <w:lang w:val="zh-CN"/>
        </w:rPr>
      </w:pPr>
      <w:r>
        <w:rPr>
          <w:rFonts w:hint="eastAsia" w:cs="宋体" w:asciiTheme="minorEastAsia" w:hAnsiTheme="minorEastAsia" w:eastAsiaTheme="minorEastAsia"/>
          <w:b/>
          <w:color w:val="auto"/>
          <w:highlight w:val="none"/>
          <w:u w:val="none"/>
          <w:lang w:val="zh-CN"/>
        </w:rPr>
        <w:t>四、响应文件的递交</w:t>
      </w:r>
    </w:p>
    <w:p>
      <w:pPr>
        <w:spacing w:line="400" w:lineRule="exact"/>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1、截止时间：2022年</w:t>
      </w:r>
      <w:r>
        <w:rPr>
          <w:rFonts w:hint="eastAsia" w:asciiTheme="minorEastAsia" w:hAnsiTheme="minorEastAsia" w:eastAsiaTheme="minorEastAsia"/>
          <w:color w:val="auto"/>
          <w:highlight w:val="none"/>
          <w:lang w:val="en-US" w:eastAsia="zh-CN"/>
        </w:rPr>
        <w:t>11</w:t>
      </w:r>
      <w:r>
        <w:rPr>
          <w:rFonts w:asciiTheme="minorEastAsia" w:hAnsiTheme="minorEastAsia" w:eastAsiaTheme="minorEastAsia"/>
          <w:color w:val="auto"/>
          <w:highlight w:val="none"/>
        </w:rPr>
        <w:t>月</w:t>
      </w:r>
      <w:r>
        <w:rPr>
          <w:rFonts w:hint="eastAsia" w:asciiTheme="minorEastAsia" w:hAnsiTheme="minorEastAsia" w:eastAsiaTheme="minorEastAsia"/>
          <w:color w:val="auto"/>
          <w:highlight w:val="none"/>
          <w:lang w:val="en-US" w:eastAsia="zh-CN"/>
        </w:rPr>
        <w:t>21</w:t>
      </w: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rPr>
        <w:t>09</w:t>
      </w:r>
      <w:r>
        <w:rPr>
          <w:rFonts w:asciiTheme="minorEastAsia" w:hAnsiTheme="minorEastAsia" w:eastAsiaTheme="minorEastAsia"/>
          <w:color w:val="auto"/>
          <w:highlight w:val="none"/>
        </w:rPr>
        <w:t>时00分00秒（北京时间）。</w:t>
      </w:r>
    </w:p>
    <w:p>
      <w:pPr>
        <w:spacing w:line="400" w:lineRule="exact"/>
        <w:ind w:firstLine="420"/>
        <w:rPr>
          <w:rFonts w:hint="default" w:asciiTheme="minorEastAsia" w:hAnsiTheme="minorEastAsia" w:eastAsiaTheme="minorEastAsia"/>
          <w:color w:val="auto"/>
          <w:highlight w:val="none"/>
          <w:lang w:val="en-US" w:eastAsia="zh-CN"/>
        </w:rPr>
      </w:pPr>
      <w:r>
        <w:rPr>
          <w:rFonts w:asciiTheme="minorEastAsia" w:hAnsiTheme="minorEastAsia" w:eastAsiaTheme="minorEastAsia"/>
          <w:color w:val="auto"/>
          <w:highlight w:val="none"/>
        </w:rPr>
        <w:t>2、地点：</w:t>
      </w:r>
      <w:r>
        <w:rPr>
          <w:rFonts w:hint="eastAsia" w:asciiTheme="minorEastAsia" w:hAnsiTheme="minorEastAsia" w:eastAsiaTheme="minorEastAsia"/>
          <w:color w:val="auto"/>
          <w:highlight w:val="none"/>
          <w:lang w:val="en-US" w:eastAsia="zh-CN"/>
        </w:rPr>
        <w:t>黄石市黄石港区挹江南路7号</w:t>
      </w:r>
    </w:p>
    <w:p>
      <w:pPr>
        <w:spacing w:line="400" w:lineRule="exact"/>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五、开启：</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1、时间：同响应文件提交截止时间</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2、地点：同响应文件提交地点</w:t>
      </w:r>
    </w:p>
    <w:p>
      <w:pPr>
        <w:spacing w:line="400" w:lineRule="exact"/>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六、公告期限:</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自本公告发布之日起3个工作日。</w:t>
      </w:r>
    </w:p>
    <w:p>
      <w:pPr>
        <w:spacing w:line="400" w:lineRule="exact"/>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七、其他补充事宜</w:t>
      </w:r>
    </w:p>
    <w:p>
      <w:pPr>
        <w:spacing w:line="400" w:lineRule="exact"/>
        <w:ind w:firstLine="422"/>
        <w:rPr>
          <w:rFonts w:asciiTheme="minorEastAsia" w:hAnsiTheme="minorEastAsia" w:eastAsiaTheme="minorEastAsia"/>
          <w:color w:val="auto"/>
          <w:highlight w:val="none"/>
          <w:shd w:val="clear" w:color="000000" w:fill="FFFFFF"/>
        </w:rPr>
      </w:pPr>
      <w:r>
        <w:rPr>
          <w:rFonts w:hint="eastAsia" w:asciiTheme="minorEastAsia" w:hAnsiTheme="minorEastAsia" w:eastAsiaTheme="minorEastAsia"/>
          <w:b/>
          <w:bCs/>
          <w:color w:val="auto"/>
          <w:highlight w:val="none"/>
        </w:rPr>
        <w:t>1、</w:t>
      </w:r>
      <w:r>
        <w:rPr>
          <w:rFonts w:asciiTheme="minorEastAsia" w:hAnsiTheme="minorEastAsia" w:eastAsiaTheme="minorEastAsia"/>
          <w:b/>
          <w:bCs/>
          <w:color w:val="auto"/>
          <w:highlight w:val="none"/>
        </w:rPr>
        <w:t>发布公告的媒介</w:t>
      </w:r>
      <w:r>
        <w:rPr>
          <w:rFonts w:hint="eastAsia" w:asciiTheme="minorEastAsia" w:hAnsiTheme="minorEastAsia" w:eastAsiaTheme="minorEastAsia"/>
          <w:b/>
          <w:bCs/>
          <w:color w:val="auto"/>
          <w:highlight w:val="none"/>
        </w:rPr>
        <w:t>：</w:t>
      </w:r>
      <w:r>
        <w:rPr>
          <w:rFonts w:asciiTheme="minorEastAsia" w:hAnsiTheme="minorEastAsia" w:eastAsiaTheme="minorEastAsia"/>
          <w:color w:val="auto"/>
          <w:highlight w:val="none"/>
        </w:rPr>
        <w:t>本次</w:t>
      </w:r>
      <w:r>
        <w:rPr>
          <w:rFonts w:hint="eastAsia" w:asciiTheme="minorEastAsia" w:hAnsiTheme="minorEastAsia" w:eastAsiaTheme="minorEastAsia"/>
          <w:color w:val="auto"/>
          <w:highlight w:val="none"/>
        </w:rPr>
        <w:t>采购</w:t>
      </w:r>
      <w:r>
        <w:rPr>
          <w:rFonts w:asciiTheme="minorEastAsia" w:hAnsiTheme="minorEastAsia" w:eastAsiaTheme="minorEastAsia"/>
          <w:color w:val="auto"/>
          <w:highlight w:val="none"/>
        </w:rPr>
        <w:t>公告在</w:t>
      </w:r>
      <w:r>
        <w:rPr>
          <w:rFonts w:hint="eastAsia" w:asciiTheme="minorEastAsia" w:hAnsiTheme="minorEastAsia" w:eastAsiaTheme="minorEastAsia"/>
          <w:color w:val="auto"/>
          <w:highlight w:val="none"/>
          <w:u w:val="single"/>
        </w:rPr>
        <w:t>《黄石市国有资产经营有限公司网站》</w:t>
      </w:r>
      <w:r>
        <w:rPr>
          <w:rFonts w:asciiTheme="minorEastAsia" w:hAnsiTheme="minorEastAsia" w:eastAsiaTheme="minorEastAsia"/>
          <w:color w:val="auto"/>
          <w:highlight w:val="none"/>
        </w:rPr>
        <w:t>上发布</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网址：http://www.hsgzgs.com/gkxx/zbgk2/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若谈判时间、地点以及采购项目其它相关内容发生变更，其变更内容将在以上网站发布变更公告，请各供应商随时关注相关信息。</w:t>
      </w:r>
    </w:p>
    <w:p>
      <w:pPr>
        <w:spacing w:line="400" w:lineRule="exact"/>
        <w:ind w:firstLine="42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2、质疑：</w:t>
      </w:r>
      <w:r>
        <w:rPr>
          <w:rFonts w:hint="eastAsia" w:asciiTheme="minorEastAsia" w:hAnsiTheme="minorEastAsia" w:eastAsiaTheme="minorEastAsia"/>
          <w:color w:val="auto"/>
          <w:highlight w:val="none"/>
        </w:rPr>
        <w:t>供应商认为采购文件、谈判过程和成交结果使自己的权益受到损害的，可以在知道或者应知其权益受到损害之日起</w:t>
      </w:r>
      <w:r>
        <w:rPr>
          <w:rFonts w:asciiTheme="minorEastAsia" w:hAnsiTheme="minorEastAsia" w:eastAsiaTheme="minorEastAsia"/>
          <w:color w:val="auto"/>
          <w:highlight w:val="none"/>
        </w:rPr>
        <w:t>7个工作日内，以书面形式向采购人提出质疑。</w:t>
      </w:r>
    </w:p>
    <w:p>
      <w:pPr>
        <w:adjustRightInd w:val="0"/>
        <w:spacing w:line="400" w:lineRule="exact"/>
        <w:ind w:firstLine="422"/>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八、对本次谈判提出询问，请按以下方式联系：</w:t>
      </w:r>
    </w:p>
    <w:p>
      <w:pPr>
        <w:spacing w:line="400" w:lineRule="exact"/>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1、采购人信息</w:t>
      </w:r>
    </w:p>
    <w:p>
      <w:pPr>
        <w:spacing w:line="400" w:lineRule="exact"/>
        <w:ind w:firstLine="420"/>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名</w:t>
      </w:r>
      <w:r>
        <w:rPr>
          <w:rFonts w:asciiTheme="minorEastAsia" w:hAnsiTheme="minorEastAsia" w:eastAsiaTheme="minorEastAsia"/>
          <w:color w:val="auto"/>
          <w:highlight w:val="none"/>
        </w:rPr>
        <w:t xml:space="preserve">  称：</w:t>
      </w:r>
      <w:r>
        <w:rPr>
          <w:rFonts w:hint="eastAsia" w:asciiTheme="minorEastAsia" w:hAnsiTheme="minorEastAsia" w:eastAsiaTheme="minorEastAsia"/>
          <w:color w:val="auto"/>
          <w:highlight w:val="none"/>
          <w:lang w:eastAsia="zh-CN"/>
        </w:rPr>
        <w:t>湖北省鄂东云计算技术服务有限公司</w:t>
      </w:r>
    </w:p>
    <w:p>
      <w:pPr>
        <w:spacing w:line="400" w:lineRule="exact"/>
        <w:ind w:firstLine="420"/>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地</w:t>
      </w:r>
      <w:r>
        <w:rPr>
          <w:rFonts w:asciiTheme="minorEastAsia" w:hAnsiTheme="minorEastAsia" w:eastAsiaTheme="minorEastAsia"/>
          <w:color w:val="auto"/>
          <w:highlight w:val="none"/>
        </w:rPr>
        <w:t xml:space="preserve">  址：</w:t>
      </w:r>
      <w:r>
        <w:rPr>
          <w:rFonts w:hint="eastAsia" w:asciiTheme="minorEastAsia" w:hAnsiTheme="minorEastAsia" w:eastAsiaTheme="minorEastAsia"/>
          <w:color w:val="auto"/>
          <w:highlight w:val="none"/>
          <w:lang w:val="en-US" w:eastAsia="zh-CN"/>
        </w:rPr>
        <w:t>黄石市黄石港区挹江南路7号</w:t>
      </w:r>
    </w:p>
    <w:p>
      <w:pPr>
        <w:spacing w:line="400" w:lineRule="exact"/>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w:t>
      </w:r>
      <w:r>
        <w:rPr>
          <w:rFonts w:hint="eastAsia" w:asciiTheme="minorEastAsia" w:hAnsiTheme="minorEastAsia" w:eastAsiaTheme="minorEastAsia"/>
          <w:color w:val="auto"/>
          <w:highlight w:val="none"/>
          <w:lang w:val="en-US" w:eastAsia="zh-CN"/>
        </w:rPr>
        <w:t>秦天碇</w:t>
      </w:r>
    </w:p>
    <w:p>
      <w:pPr>
        <w:spacing w:line="400" w:lineRule="exact"/>
        <w:ind w:firstLine="420"/>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电</w:t>
      </w:r>
      <w:r>
        <w:rPr>
          <w:rFonts w:asciiTheme="minorEastAsia" w:hAnsiTheme="minorEastAsia" w:eastAsiaTheme="minorEastAsia"/>
          <w:color w:val="auto"/>
          <w:highlight w:val="none"/>
        </w:rPr>
        <w:t xml:space="preserve">  话：</w:t>
      </w:r>
      <w:r>
        <w:rPr>
          <w:rFonts w:hint="eastAsia" w:ascii="宋体" w:hAnsi="宋体" w:cs="宋体" w:eastAsiaTheme="minorEastAsia"/>
          <w:color w:val="auto"/>
          <w:sz w:val="24"/>
          <w:highlight w:val="none"/>
          <w:lang w:val="en-US" w:eastAsia="zh-CN"/>
        </w:rPr>
        <w:t>13872082833</w:t>
      </w:r>
    </w:p>
    <w:p>
      <w:pPr>
        <w:ind w:firstLine="420"/>
        <w:rPr>
          <w:rFonts w:hint="eastAsia" w:asciiTheme="minorEastAsia" w:hAnsiTheme="minorEastAsia" w:eastAsiaTheme="minorEastAsia"/>
          <w:color w:val="auto"/>
          <w:highlight w:val="none"/>
        </w:rPr>
      </w:pPr>
    </w:p>
    <w:p>
      <w:pPr>
        <w:pStyle w:val="7"/>
        <w:rPr>
          <w:rFonts w:hint="eastAsia" w:asciiTheme="minorEastAsia" w:hAnsiTheme="minorEastAsia" w:eastAsiaTheme="minorEastAsia"/>
          <w:color w:val="auto"/>
          <w:highlight w:val="none"/>
        </w:rPr>
      </w:pPr>
      <w:bookmarkStart w:id="1" w:name="_Toc83732590"/>
      <w:r>
        <w:rPr>
          <w:rFonts w:hint="eastAsia" w:asciiTheme="minorEastAsia" w:hAnsiTheme="minorEastAsia" w:eastAsiaTheme="minorEastAsia"/>
          <w:color w:val="auto"/>
          <w:highlight w:val="none"/>
        </w:rPr>
        <w:t>第二章  供应商须知</w:t>
      </w:r>
      <w:bookmarkEnd w:id="1"/>
    </w:p>
    <w:p>
      <w:pPr>
        <w:spacing w:line="240" w:lineRule="auto"/>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供应商应仔细阅读本《供应商须知前附表》，下表所列内容是对“供应商须知”的具体补充和说明。如有矛盾，应以本表为准。</w:t>
      </w:r>
    </w:p>
    <w:p>
      <w:pPr>
        <w:ind w:firstLine="0" w:firstLineChars="0"/>
        <w:jc w:val="center"/>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rPr>
        <w:t>《供应商须知前附表》</w:t>
      </w:r>
    </w:p>
    <w:tbl>
      <w:tblPr>
        <w:tblStyle w:val="34"/>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530"/>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709" w:type="dxa"/>
            <w:shd w:val="clear" w:color="auto" w:fill="C0C0C0"/>
            <w:vAlign w:val="center"/>
          </w:tcPr>
          <w:p>
            <w:pPr>
              <w:ind w:firstLine="0" w:firstLineChars="0"/>
              <w:jc w:val="center"/>
              <w:rPr>
                <w:rFonts w:asciiTheme="minorEastAsia" w:hAnsiTheme="minorEastAsia" w:eastAsiaTheme="minorEastAsia"/>
                <w:b/>
                <w:color w:val="auto"/>
                <w:szCs w:val="22"/>
                <w:highlight w:val="none"/>
              </w:rPr>
            </w:pPr>
            <w:r>
              <w:rPr>
                <w:rFonts w:hint="eastAsia" w:asciiTheme="minorEastAsia" w:hAnsiTheme="minorEastAsia" w:eastAsiaTheme="minorEastAsia"/>
                <w:b/>
                <w:color w:val="auto"/>
                <w:szCs w:val="22"/>
                <w:highlight w:val="none"/>
              </w:rPr>
              <w:t>序号</w:t>
            </w:r>
          </w:p>
        </w:tc>
        <w:tc>
          <w:tcPr>
            <w:tcW w:w="1530" w:type="dxa"/>
            <w:shd w:val="clear" w:color="auto" w:fill="C0C0C0"/>
            <w:vAlign w:val="center"/>
          </w:tcPr>
          <w:p>
            <w:pPr>
              <w:ind w:firstLine="0" w:firstLineChars="0"/>
              <w:jc w:val="center"/>
              <w:rPr>
                <w:rFonts w:asciiTheme="minorEastAsia" w:hAnsiTheme="minorEastAsia" w:eastAsiaTheme="minorEastAsia"/>
                <w:b/>
                <w:color w:val="auto"/>
                <w:szCs w:val="22"/>
                <w:highlight w:val="none"/>
              </w:rPr>
            </w:pPr>
            <w:r>
              <w:rPr>
                <w:rFonts w:hint="eastAsia" w:asciiTheme="minorEastAsia" w:hAnsiTheme="minorEastAsia" w:eastAsiaTheme="minorEastAsia"/>
                <w:b/>
                <w:color w:val="auto"/>
                <w:szCs w:val="22"/>
                <w:highlight w:val="none"/>
              </w:rPr>
              <w:t>序号名称</w:t>
            </w:r>
          </w:p>
        </w:tc>
        <w:tc>
          <w:tcPr>
            <w:tcW w:w="6008" w:type="dxa"/>
            <w:shd w:val="clear" w:color="auto" w:fill="C0C0C0"/>
            <w:vAlign w:val="center"/>
          </w:tcPr>
          <w:p>
            <w:pPr>
              <w:ind w:firstLine="0" w:firstLineChars="0"/>
              <w:jc w:val="center"/>
              <w:rPr>
                <w:rFonts w:asciiTheme="minorEastAsia" w:hAnsiTheme="minorEastAsia" w:eastAsiaTheme="minorEastAsia"/>
                <w:b/>
                <w:color w:val="auto"/>
                <w:szCs w:val="22"/>
                <w:highlight w:val="none"/>
              </w:rPr>
            </w:pPr>
            <w:r>
              <w:rPr>
                <w:rFonts w:hint="eastAsia" w:asciiTheme="minorEastAsia" w:hAnsiTheme="minorEastAsia" w:eastAsiaTheme="minorEastAsia"/>
                <w:b/>
                <w:color w:val="auto"/>
                <w:szCs w:val="22"/>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项目属性</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2</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kern w:val="2"/>
                <w:sz w:val="21"/>
                <w:szCs w:val="21"/>
                <w:highlight w:val="none"/>
                <w:lang w:val="zh-CN" w:eastAsia="zh-CN" w:bidi="ar-SA"/>
              </w:rPr>
              <w:t>服务范围</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en-US" w:eastAsia="zh-CN" w:bidi="en-US"/>
              </w:rPr>
              <w:t>500M互联网专线以及50个公网IP地址</w:t>
            </w:r>
            <w:r>
              <w:rPr>
                <w:rFonts w:hint="eastAsia" w:cs="宋体" w:asciiTheme="minorEastAsia" w:hAnsiTheme="minorEastAsia" w:eastAsiaTheme="minorEastAsia"/>
                <w:color w:val="auto"/>
                <w:kern w:val="2"/>
                <w:sz w:val="21"/>
                <w:szCs w:val="21"/>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3</w:t>
            </w:r>
          </w:p>
        </w:tc>
        <w:tc>
          <w:tcPr>
            <w:tcW w:w="1530" w:type="dxa"/>
            <w:vAlign w:val="center"/>
          </w:tcPr>
          <w:p>
            <w:pPr>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kern w:val="2"/>
                <w:sz w:val="21"/>
                <w:szCs w:val="21"/>
                <w:highlight w:val="none"/>
                <w:lang w:val="zh-CN" w:eastAsia="zh-CN" w:bidi="ar-SA"/>
              </w:rPr>
              <w:t>合同履行期</w:t>
            </w:r>
          </w:p>
        </w:tc>
        <w:tc>
          <w:tcPr>
            <w:tcW w:w="6008" w:type="dxa"/>
            <w:vAlign w:val="center"/>
          </w:tcPr>
          <w:p>
            <w:pPr>
              <w:adjustRightInd w:val="0"/>
              <w:snapToGrid w:val="0"/>
              <w:spacing w:line="240" w:lineRule="auto"/>
              <w:ind w:firstLine="0" w:firstLineChars="0"/>
              <w:rPr>
                <w:rFonts w:hint="eastAsia" w:cs="宋体" w:asciiTheme="minorEastAsia" w:hAnsiTheme="minorEastAsia" w:eastAsiaTheme="minorEastAsia"/>
                <w:color w:val="auto"/>
                <w:kern w:val="2"/>
                <w:sz w:val="21"/>
                <w:szCs w:val="21"/>
                <w:highlight w:val="none"/>
                <w:lang w:val="zh-CN" w:eastAsia="zh-CN" w:bidi="ar-SA"/>
              </w:rPr>
            </w:pP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起1年</w:t>
            </w:r>
            <w:r>
              <w:rPr>
                <w:rFonts w:hint="eastAsia" w:cs="宋体" w:asciiTheme="minorEastAsia" w:hAnsiTheme="minorEastAsia" w:eastAsiaTheme="minorEastAsia"/>
                <w:color w:val="auto"/>
                <w:kern w:val="2"/>
                <w:sz w:val="21"/>
                <w:szCs w:val="21"/>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4</w:t>
            </w:r>
          </w:p>
        </w:tc>
        <w:tc>
          <w:tcPr>
            <w:tcW w:w="1530" w:type="dxa"/>
            <w:vAlign w:val="center"/>
          </w:tcPr>
          <w:p>
            <w:pPr>
              <w:adjustRightInd w:val="0"/>
              <w:snapToGrid w:val="0"/>
              <w:spacing w:line="240" w:lineRule="auto"/>
              <w:ind w:firstLine="0" w:firstLineChars="0"/>
              <w:jc w:val="center"/>
              <w:rPr>
                <w:rFonts w:hint="eastAsia"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kern w:val="2"/>
                <w:sz w:val="21"/>
                <w:szCs w:val="21"/>
                <w:highlight w:val="none"/>
                <w:lang w:val="zh-CN" w:eastAsia="zh-CN" w:bidi="ar-SA"/>
              </w:rPr>
              <w:t>成果交付日期</w:t>
            </w:r>
          </w:p>
        </w:tc>
        <w:tc>
          <w:tcPr>
            <w:tcW w:w="6008" w:type="dxa"/>
            <w:vAlign w:val="center"/>
          </w:tcPr>
          <w:p>
            <w:pPr>
              <w:adjustRightInd w:val="0"/>
              <w:snapToGrid w:val="0"/>
              <w:spacing w:line="240" w:lineRule="auto"/>
              <w:ind w:firstLine="0" w:firstLineChars="0"/>
              <w:rPr>
                <w:rFonts w:hint="eastAsia" w:cs="宋体" w:asciiTheme="minorEastAsia" w:hAnsiTheme="minorEastAsia" w:eastAsiaTheme="minorEastAsia"/>
                <w:color w:val="auto"/>
                <w:kern w:val="2"/>
                <w:sz w:val="21"/>
                <w:szCs w:val="21"/>
                <w:highlight w:val="none"/>
                <w:lang w:val="zh-CN" w:eastAsia="zh-CN" w:bidi="ar-SA"/>
              </w:rPr>
            </w:pP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起10日内完成互联网专线开通工作以及交付公网IP地址</w:t>
            </w:r>
            <w:r>
              <w:rPr>
                <w:rFonts w:hint="eastAsia" w:cs="宋体" w:asciiTheme="minorEastAsia" w:hAnsiTheme="minorEastAsia" w:eastAsiaTheme="minorEastAsia"/>
                <w:color w:val="auto"/>
                <w:kern w:val="2"/>
                <w:sz w:val="21"/>
                <w:szCs w:val="21"/>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en-US" w:eastAsia="zh-CN"/>
              </w:rPr>
              <w:t>5</w:t>
            </w:r>
          </w:p>
        </w:tc>
        <w:tc>
          <w:tcPr>
            <w:tcW w:w="1530" w:type="dxa"/>
            <w:vAlign w:val="center"/>
          </w:tcPr>
          <w:p>
            <w:pPr>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供应商提疑截止时间</w:t>
            </w:r>
          </w:p>
        </w:tc>
        <w:tc>
          <w:tcPr>
            <w:tcW w:w="6008" w:type="dxa"/>
            <w:vAlign w:val="center"/>
          </w:tcPr>
          <w:p>
            <w:pPr>
              <w:adjustRightInd w:val="0"/>
              <w:snapToGrid w:val="0"/>
              <w:spacing w:line="240" w:lineRule="auto"/>
              <w:ind w:firstLine="0" w:firstLineChars="0"/>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提交响应文件截止日期3个工作日前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lang w:val="en-US" w:eastAsia="zh-CN"/>
              </w:rPr>
              <w:t>6</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谈判前答疑会</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color w:val="auto"/>
                <w:highlight w:val="none"/>
                <w:lang w:val="zh-CN"/>
              </w:rPr>
              <w:fldChar w:fldCharType="begin"/>
            </w:r>
            <w:r>
              <w:rPr>
                <w:rFonts w:hint="eastAsia" w:cs="宋体" w:asciiTheme="minorEastAsia" w:hAnsiTheme="minorEastAsia" w:eastAsiaTheme="minorEastAsia"/>
                <w:color w:val="auto"/>
                <w:highlight w:val="none"/>
                <w:lang w:val="zh-CN"/>
              </w:rPr>
              <w:instrText xml:space="preserve">eq \o\ac(□,√)</w:instrText>
            </w:r>
            <w:r>
              <w:rPr>
                <w:rFonts w:cs="宋体" w:asciiTheme="minorEastAsia" w:hAnsiTheme="minorEastAsia" w:eastAsiaTheme="minorEastAsia"/>
                <w:color w:val="auto"/>
                <w:highlight w:val="none"/>
                <w:lang w:val="zh-CN"/>
              </w:rPr>
              <w:fldChar w:fldCharType="end"/>
            </w:r>
            <w:r>
              <w:rPr>
                <w:rFonts w:hint="eastAsia" w:cs="宋体" w:asciiTheme="minorEastAsia" w:hAnsiTheme="minorEastAsia" w:eastAsiaTheme="minorEastAsia"/>
                <w:color w:val="auto"/>
                <w:highlight w:val="none"/>
                <w:lang w:val="zh-CN"/>
              </w:rPr>
              <w:t>不召开</w:t>
            </w:r>
          </w:p>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□召开，召开时间：召开地点：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en-US" w:eastAsia="zh-CN"/>
              </w:rPr>
              <w:t>7</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澄清或修改</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澄清或者修改的内容可能影响响应文件编制的，采购人或者谈判小组应当在提交首次响应文件截止之日3个工作日前，以书面形式通知所有接收采购文件的供应商，不足3个工作日的，应当顺延提交首次响应文件截止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en-US" w:eastAsia="zh-CN"/>
              </w:rPr>
              <w:t>8</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现场踏勘</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color w:val="auto"/>
                <w:highlight w:val="none"/>
                <w:lang w:val="zh-CN"/>
              </w:rPr>
              <w:t>不组织</w:t>
            </w:r>
          </w:p>
          <w:p>
            <w:pPr>
              <w:adjustRightInd w:val="0"/>
              <w:snapToGrid w:val="0"/>
              <w:spacing w:line="240" w:lineRule="auto"/>
              <w:ind w:firstLine="0" w:firstLineChars="0"/>
              <w:rPr>
                <w:rFonts w:cs="Arial"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zh-CN"/>
              </w:rPr>
              <w:t>组织</w:t>
            </w:r>
            <w:r>
              <w:rPr>
                <w:rFonts w:hint="eastAsia" w:cs="Arial" w:asciiTheme="minorEastAsia" w:hAnsiTheme="minorEastAsia" w:eastAsiaTheme="minorEastAsia"/>
                <w:color w:val="auto"/>
                <w:highlight w:val="none"/>
              </w:rPr>
              <w:t>，踏勘时间：踏勘集中地点：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en-US" w:eastAsia="zh-CN"/>
              </w:rPr>
              <w:t>9</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对多包采购的规定</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color w:val="auto"/>
                <w:highlight w:val="none"/>
                <w:lang w:val="zh-CN"/>
              </w:rPr>
              <w:fldChar w:fldCharType="end"/>
            </w:r>
            <w:r>
              <w:rPr>
                <w:rFonts w:hint="eastAsia" w:cs="宋体" w:asciiTheme="minorEastAsia" w:hAnsiTheme="minorEastAsia" w:eastAsiaTheme="minorEastAsia"/>
                <w:color w:val="auto"/>
                <w:highlight w:val="none"/>
              </w:rPr>
              <w:t>不适用</w:t>
            </w:r>
          </w:p>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rPr>
              <w:t>□适用，允许供应商对本项目中多个包进行响应，且允许其在多个包中成交。供应商多包响应的，其响应文件的编制应按每包要求分别装订和封装，并注明对应包号。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1</w:t>
            </w:r>
            <w:r>
              <w:rPr>
                <w:rFonts w:hint="eastAsia" w:cs="宋体" w:asciiTheme="minorEastAsia" w:hAnsiTheme="minorEastAsia" w:eastAsiaTheme="minorEastAsia"/>
                <w:color w:val="auto"/>
                <w:highlight w:val="none"/>
                <w:lang w:val="en-US" w:eastAsia="zh-CN"/>
              </w:rPr>
              <w:t>0</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备选方案</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color w:val="auto"/>
                <w:highlight w:val="none"/>
                <w:lang w:val="zh-CN"/>
              </w:rPr>
              <w:t>不接受</w:t>
            </w:r>
          </w:p>
          <w:p>
            <w:pPr>
              <w:adjustRightInd w:val="0"/>
              <w:snapToGrid w:val="0"/>
              <w:spacing w:line="240" w:lineRule="auto"/>
              <w:ind w:firstLine="0" w:firstLineChars="0"/>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1</w:t>
            </w:r>
            <w:r>
              <w:rPr>
                <w:rFonts w:hint="eastAsia" w:cs="宋体" w:asciiTheme="minorEastAsia" w:hAnsiTheme="minorEastAsia" w:eastAsiaTheme="minorEastAsia"/>
                <w:color w:val="auto"/>
                <w:highlight w:val="none"/>
                <w:lang w:val="en-US" w:eastAsia="zh-CN"/>
              </w:rPr>
              <w:t>1</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联合体</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color w:val="auto"/>
                <w:highlight w:val="none"/>
                <w:lang w:val="zh-CN"/>
              </w:rPr>
              <w:t>不接受</w:t>
            </w:r>
          </w:p>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1</w:t>
            </w:r>
            <w:r>
              <w:rPr>
                <w:rFonts w:hint="eastAsia" w:cs="宋体" w:asciiTheme="minorEastAsia" w:hAnsiTheme="minorEastAsia" w:eastAsiaTheme="minorEastAsia"/>
                <w:color w:val="auto"/>
                <w:highlight w:val="none"/>
                <w:lang w:val="en-US" w:eastAsia="zh-CN"/>
              </w:rPr>
              <w:t>2</w:t>
            </w:r>
          </w:p>
        </w:tc>
        <w:tc>
          <w:tcPr>
            <w:tcW w:w="1530" w:type="dxa"/>
            <w:vAlign w:val="center"/>
          </w:tcPr>
          <w:p>
            <w:pPr>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成交后分包或转包</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color w:val="auto"/>
                <w:highlight w:val="none"/>
                <w:lang w:val="zh-CN"/>
              </w:rPr>
              <w:t>不允许</w:t>
            </w:r>
          </w:p>
          <w:p>
            <w:pPr>
              <w:adjustRightInd w:val="0"/>
              <w:snapToGrid w:val="0"/>
              <w:spacing w:line="240" w:lineRule="auto"/>
              <w:ind w:firstLine="0" w:firstLineChars="0"/>
              <w:rPr>
                <w:rFonts w:cs="Arial"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zh-CN"/>
              </w:rPr>
              <w:t>允许，</w:t>
            </w:r>
            <w:r>
              <w:rPr>
                <w:rFonts w:hint="eastAsia" w:cs="Arial" w:asciiTheme="minorEastAsia" w:hAnsiTheme="minorEastAsia" w:eastAsiaTheme="minorEastAsia"/>
                <w:color w:val="auto"/>
                <w:highlight w:val="none"/>
              </w:rPr>
              <w:t>分包内容要求：</w:t>
            </w:r>
          </w:p>
          <w:p>
            <w:pPr>
              <w:adjustRightInd w:val="0"/>
              <w:snapToGrid w:val="0"/>
              <w:spacing w:line="240" w:lineRule="auto"/>
              <w:ind w:firstLine="0" w:firstLineChars="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分包金额要求： </w:t>
            </w:r>
          </w:p>
          <w:p>
            <w:pPr>
              <w:adjustRightInd w:val="0"/>
              <w:snapToGrid w:val="0"/>
              <w:spacing w:line="240" w:lineRule="auto"/>
              <w:ind w:firstLine="0" w:firstLineChars="0"/>
              <w:rPr>
                <w:rFonts w:cs="仿宋" w:asciiTheme="minorEastAsia" w:hAnsiTheme="minorEastAsia" w:eastAsiaTheme="minorEastAsia"/>
                <w:color w:val="auto"/>
                <w:kern w:val="2"/>
                <w:sz w:val="21"/>
                <w:szCs w:val="21"/>
                <w:highlight w:val="none"/>
                <w:lang w:val="zh-CN" w:eastAsia="zh-CN" w:bidi="ar-SA"/>
              </w:rPr>
            </w:pPr>
            <w:r>
              <w:rPr>
                <w:rFonts w:hint="eastAsia" w:cs="Arial" w:asciiTheme="minorEastAsia" w:hAnsiTheme="minorEastAsia" w:eastAsiaTheme="minorEastAsia"/>
                <w:color w:val="auto"/>
                <w:highlight w:val="none"/>
              </w:rPr>
              <w:t>分包人资质要求：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3</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谈判保证金</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4</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响应文件有效期</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 xml:space="preserve">递交响应文件截止日期起 </w:t>
            </w:r>
            <w:r>
              <w:rPr>
                <w:rFonts w:hint="eastAsia" w:cs="宋体" w:asciiTheme="minorEastAsia" w:hAnsiTheme="minorEastAsia" w:eastAsiaTheme="minorEastAsia"/>
                <w:color w:val="auto"/>
                <w:highlight w:val="none"/>
                <w:u w:val="single"/>
                <w:lang w:val="zh-CN"/>
              </w:rPr>
              <w:t xml:space="preserve"> </w:t>
            </w:r>
            <w:r>
              <w:rPr>
                <w:rFonts w:hint="eastAsia" w:cs="宋体" w:asciiTheme="minorEastAsia" w:hAnsiTheme="minorEastAsia" w:eastAsiaTheme="minorEastAsia"/>
                <w:color w:val="auto"/>
                <w:highlight w:val="none"/>
                <w:u w:val="single"/>
                <w:lang w:val="en-US" w:eastAsia="zh-CN"/>
              </w:rPr>
              <w:t>18</w:t>
            </w:r>
            <w:r>
              <w:rPr>
                <w:rFonts w:hint="eastAsia" w:cs="宋体" w:asciiTheme="minorEastAsia" w:hAnsiTheme="minorEastAsia" w:eastAsiaTheme="minorEastAsia"/>
                <w:color w:val="auto"/>
                <w:highlight w:val="none"/>
                <w:u w:val="single"/>
                <w:lang w:val="zh-CN"/>
              </w:rPr>
              <w:t xml:space="preserve">0 </w:t>
            </w:r>
            <w:r>
              <w:rPr>
                <w:rFonts w:hint="eastAsia" w:cs="宋体" w:asciiTheme="minorEastAsia" w:hAnsiTheme="minorEastAsia" w:eastAsiaTheme="minorEastAsia"/>
                <w:color w:val="auto"/>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5</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响应文件数量</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color w:val="auto"/>
                <w:highlight w:val="none"/>
                <w:lang w:val="zh-CN"/>
              </w:rPr>
              <w:t>1、响应文件纸质版：正本</w:t>
            </w:r>
            <w:r>
              <w:rPr>
                <w:rFonts w:cs="宋体" w:asciiTheme="minorEastAsia" w:hAnsiTheme="minorEastAsia" w:eastAsiaTheme="minorEastAsia"/>
                <w:b/>
                <w:bCs/>
                <w:color w:val="auto"/>
                <w:highlight w:val="none"/>
                <w:u w:val="single"/>
                <w:lang w:val="zh-CN"/>
              </w:rPr>
              <w:t>壹份</w:t>
            </w:r>
            <w:r>
              <w:rPr>
                <w:rFonts w:cs="宋体" w:asciiTheme="minorEastAsia" w:hAnsiTheme="minorEastAsia" w:eastAsiaTheme="minorEastAsia"/>
                <w:color w:val="auto"/>
                <w:highlight w:val="none"/>
                <w:lang w:val="zh-CN"/>
              </w:rPr>
              <w:t>，副本</w:t>
            </w:r>
            <w:r>
              <w:rPr>
                <w:rFonts w:hint="eastAsia" w:cs="宋体" w:asciiTheme="minorEastAsia" w:hAnsiTheme="minorEastAsia" w:eastAsiaTheme="minorEastAsia"/>
                <w:b/>
                <w:bCs/>
                <w:color w:val="auto"/>
                <w:highlight w:val="none"/>
                <w:u w:val="single"/>
                <w:lang w:val="zh-CN"/>
              </w:rPr>
              <w:t>贰</w:t>
            </w:r>
            <w:r>
              <w:rPr>
                <w:rFonts w:cs="宋体" w:asciiTheme="minorEastAsia" w:hAnsiTheme="minorEastAsia" w:eastAsiaTheme="minorEastAsia"/>
                <w:b/>
                <w:bCs/>
                <w:color w:val="auto"/>
                <w:highlight w:val="none"/>
                <w:u w:val="single"/>
                <w:lang w:val="zh-CN"/>
              </w:rPr>
              <w:t>份</w:t>
            </w:r>
            <w:r>
              <w:rPr>
                <w:rFonts w:cs="宋体" w:asciiTheme="minorEastAsia" w:hAnsiTheme="minorEastAsia" w:eastAsiaTheme="minorEastAsia"/>
                <w:color w:val="auto"/>
                <w:highlight w:val="none"/>
                <w:lang w:val="zh-CN"/>
              </w:rPr>
              <w:t>。</w:t>
            </w:r>
          </w:p>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所有响应文件递交截止时间后概不退还。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6</w:t>
            </w:r>
          </w:p>
        </w:tc>
        <w:tc>
          <w:tcPr>
            <w:tcW w:w="1530" w:type="dxa"/>
            <w:vAlign w:val="center"/>
          </w:tcPr>
          <w:p>
            <w:pPr>
              <w:autoSpaceDE w:val="0"/>
              <w:autoSpaceDN w:val="0"/>
              <w:adjustRightInd w:val="0"/>
              <w:snapToGrid w:val="0"/>
              <w:spacing w:line="240" w:lineRule="auto"/>
              <w:ind w:firstLine="0" w:firstLineChars="0"/>
              <w:jc w:val="center"/>
              <w:rPr>
                <w:rFonts w:cs="宋体"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样品</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color w:val="auto"/>
                <w:highlight w:val="none"/>
                <w:lang w:val="zh-CN"/>
              </w:rPr>
              <w:t>不需要</w:t>
            </w:r>
          </w:p>
          <w:p>
            <w:pPr>
              <w:adjustRightInd w:val="0"/>
              <w:snapToGrid w:val="0"/>
              <w:spacing w:line="240" w:lineRule="auto"/>
              <w:ind w:firstLine="0" w:firstLineChars="0"/>
              <w:rPr>
                <w:rFonts w:cs="宋体"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zh-CN"/>
              </w:rPr>
              <w:t>需要，样品的种类及数量：</w:t>
            </w:r>
          </w:p>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样品的包装及递交要求：样品应与响应文件同时递交。供应商应在样品上标明项目编号、项目名称及供应商名称。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7</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响应文件递交</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bCs/>
                <w:color w:val="auto"/>
                <w:highlight w:val="none"/>
              </w:rPr>
            </w:pPr>
            <w:r>
              <w:rPr>
                <w:rFonts w:cs="宋体" w:asciiTheme="minorEastAsia" w:hAnsiTheme="minorEastAsia" w:eastAsiaTheme="minorEastAsia"/>
                <w:bCs/>
                <w:color w:val="auto"/>
                <w:highlight w:val="none"/>
              </w:rPr>
              <w:t>1、供应商法定代表人凭法定代表人身份证明（原件）或授权代表凭法定代表人授权书（原件）、本人身份证明（原件）参加谈判。本项材料无需封装，现场手持即可。</w:t>
            </w:r>
          </w:p>
          <w:p>
            <w:pPr>
              <w:adjustRightInd w:val="0"/>
              <w:snapToGrid w:val="0"/>
              <w:spacing w:line="240" w:lineRule="auto"/>
              <w:ind w:firstLine="0" w:firstLineChars="0"/>
              <w:rPr>
                <w:rFonts w:cs="宋体" w:asciiTheme="minorEastAsia" w:hAnsiTheme="minorEastAsia" w:eastAsiaTheme="minorEastAsia"/>
                <w:bCs/>
                <w:color w:val="auto"/>
                <w:highlight w:val="none"/>
              </w:rPr>
            </w:pPr>
            <w:r>
              <w:rPr>
                <w:rFonts w:cs="宋体" w:asciiTheme="minorEastAsia" w:hAnsiTheme="minorEastAsia" w:eastAsiaTheme="minorEastAsia"/>
                <w:bCs/>
                <w:color w:val="auto"/>
                <w:highlight w:val="none"/>
              </w:rPr>
              <w:t>2、纸质响应文件的正本</w:t>
            </w:r>
            <w:r>
              <w:rPr>
                <w:rFonts w:cs="宋体" w:asciiTheme="minorEastAsia" w:hAnsiTheme="minorEastAsia" w:eastAsiaTheme="minorEastAsia"/>
                <w:b/>
                <w:bCs/>
                <w:color w:val="auto"/>
                <w:highlight w:val="none"/>
                <w:u w:val="single"/>
              </w:rPr>
              <w:t>壹本</w:t>
            </w:r>
            <w:r>
              <w:rPr>
                <w:rFonts w:cs="宋体" w:asciiTheme="minorEastAsia" w:hAnsiTheme="minorEastAsia" w:eastAsiaTheme="minorEastAsia"/>
                <w:bCs/>
                <w:color w:val="auto"/>
                <w:highlight w:val="none"/>
              </w:rPr>
              <w:t>、副本</w:t>
            </w:r>
            <w:r>
              <w:rPr>
                <w:rFonts w:cs="宋体" w:asciiTheme="minorEastAsia" w:hAnsiTheme="minorEastAsia" w:eastAsiaTheme="minorEastAsia"/>
                <w:b/>
                <w:bCs/>
                <w:color w:val="auto"/>
                <w:highlight w:val="none"/>
                <w:u w:val="single"/>
              </w:rPr>
              <w:t>贰本</w:t>
            </w:r>
            <w:r>
              <w:rPr>
                <w:rFonts w:cs="宋体" w:asciiTheme="minorEastAsia" w:hAnsiTheme="minorEastAsia" w:eastAsiaTheme="minorEastAsia"/>
                <w:bCs/>
                <w:color w:val="auto"/>
                <w:highlight w:val="none"/>
              </w:rPr>
              <w:t>必须密封（正副本可分别密封也可一起密封）和加盖供应商公章后递交，包装上应注明项目编号、项目名称、供应商名称及“响应文件”字样。</w:t>
            </w:r>
          </w:p>
          <w:p>
            <w:pPr>
              <w:adjustRightInd w:val="0"/>
              <w:snapToGrid w:val="0"/>
              <w:spacing w:line="240" w:lineRule="auto"/>
              <w:ind w:firstLine="0" w:firstLineChars="0"/>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lang w:val="en-US" w:eastAsia="zh-CN"/>
              </w:rPr>
              <w:t>3</w:t>
            </w:r>
            <w:r>
              <w:rPr>
                <w:rFonts w:cs="宋体" w:asciiTheme="minorEastAsia" w:hAnsiTheme="minorEastAsia" w:eastAsiaTheme="minorEastAsia"/>
                <w:bCs/>
                <w:color w:val="auto"/>
                <w:highlight w:val="none"/>
              </w:rPr>
              <w:t>、供应商还应将1份《报价一览表（首次报价表）》（原件）与报价优惠声明（原件，如果有的话）单独密封提交，包装上应注明项目编号、项目名称、供应商名称及“报价一览表”字样。最终报价表谈判现场手持即可。</w:t>
            </w:r>
          </w:p>
          <w:p>
            <w:pPr>
              <w:adjustRightInd w:val="0"/>
              <w:snapToGrid w:val="0"/>
              <w:spacing w:line="240" w:lineRule="auto"/>
              <w:ind w:firstLine="0" w:firstLineChars="0"/>
              <w:rPr>
                <w:rFonts w:cs="宋体" w:asciiTheme="minorEastAsia" w:hAnsiTheme="minorEastAsia" w:eastAsiaTheme="minorEastAsia"/>
                <w:b/>
                <w:bCs/>
                <w:color w:val="auto"/>
                <w:kern w:val="2"/>
                <w:sz w:val="21"/>
                <w:szCs w:val="21"/>
                <w:highlight w:val="none"/>
                <w:lang w:val="zh-CN" w:eastAsia="zh-CN" w:bidi="ar-SA"/>
              </w:rPr>
            </w:pPr>
            <w:r>
              <w:rPr>
                <w:rFonts w:hint="eastAsia" w:cs="宋体" w:asciiTheme="minorEastAsia" w:hAnsiTheme="minorEastAsia" w:eastAsiaTheme="minorEastAsia"/>
                <w:bCs/>
                <w:color w:val="auto"/>
                <w:highlight w:val="none"/>
              </w:rPr>
              <w:t>未按要求密封和加写标记的响应文件将被视为无效文件，采购人将拒收。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lang w:val="en-US" w:eastAsia="zh-CN"/>
              </w:rPr>
              <w:t>18</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谈判顺序</w:t>
            </w:r>
          </w:p>
        </w:tc>
        <w:tc>
          <w:tcPr>
            <w:tcW w:w="6008" w:type="dxa"/>
            <w:vAlign w:val="center"/>
          </w:tcPr>
          <w:p>
            <w:pPr>
              <w:adjustRightInd w:val="0"/>
              <w:snapToGrid w:val="0"/>
              <w:spacing w:line="240" w:lineRule="auto"/>
              <w:ind w:firstLine="0" w:firstLineChars="0"/>
              <w:rPr>
                <w:rFonts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按照递交响应文件先后顺序（如有）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default" w:cs="仿宋"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highlight w:val="none"/>
                <w:lang w:val="en-US" w:eastAsia="zh-CN"/>
              </w:rPr>
              <w:t>19</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bCs/>
                <w:color w:val="auto"/>
                <w:highlight w:val="none"/>
              </w:rPr>
              <w:t>成交候选供应商数量</w:t>
            </w:r>
          </w:p>
        </w:tc>
        <w:tc>
          <w:tcPr>
            <w:tcW w:w="6008" w:type="dxa"/>
            <w:vAlign w:val="center"/>
          </w:tcPr>
          <w:p>
            <w:pPr>
              <w:adjustRightInd w:val="0"/>
              <w:snapToGrid w:val="0"/>
              <w:spacing w:line="240" w:lineRule="auto"/>
              <w:ind w:firstLine="0" w:firstLineChars="0"/>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bCs/>
                <w:color w:val="auto"/>
                <w:highlight w:val="none"/>
              </w:rPr>
              <w:t>推荐3名成交候选供应商</w:t>
            </w:r>
            <w:r>
              <w:rPr>
                <w:rFonts w:hint="eastAsia" w:cs="宋体" w:asciiTheme="minorEastAsia" w:hAnsiTheme="minorEastAsia" w:eastAsiaTheme="minorEastAsia"/>
                <w:bCs/>
                <w:color w:val="auto"/>
                <w:highlight w:val="none"/>
                <w:lang w:eastAsia="zh-CN"/>
              </w:rPr>
              <w:t>（</w:t>
            </w:r>
            <w:r>
              <w:rPr>
                <w:rFonts w:hint="eastAsia" w:cs="宋体" w:asciiTheme="minorEastAsia" w:hAnsiTheme="minorEastAsia" w:eastAsiaTheme="minorEastAsia"/>
                <w:bCs/>
                <w:color w:val="auto"/>
                <w:highlight w:val="none"/>
                <w:lang w:val="en-US" w:eastAsia="zh-CN"/>
              </w:rPr>
              <w:t>谈判小组确认</w:t>
            </w:r>
            <w:r>
              <w:rPr>
                <w:rFonts w:hint="eastAsia" w:cs="宋体" w:asciiTheme="minorEastAsia" w:hAnsiTheme="minorEastAsia" w:eastAsiaTheme="minorEastAsia"/>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default" w:cs="宋体" w:asciiTheme="minorEastAsia" w:hAnsiTheme="minorEastAsia" w:eastAsiaTheme="minorEastAsia"/>
                <w:color w:val="auto"/>
                <w:kern w:val="2"/>
                <w:sz w:val="21"/>
                <w:szCs w:val="21"/>
                <w:highlight w:val="none"/>
                <w:lang w:val="en-US" w:eastAsia="zh-CN" w:bidi="ar-SA"/>
              </w:rPr>
            </w:pPr>
            <w:r>
              <w:rPr>
                <w:rFonts w:hint="eastAsia" w:cs="宋体" w:asciiTheme="minorEastAsia" w:hAnsiTheme="minorEastAsia" w:eastAsiaTheme="minorEastAsia"/>
                <w:color w:val="auto"/>
                <w:highlight w:val="none"/>
                <w:lang w:val="zh-CN"/>
              </w:rPr>
              <w:t>2</w:t>
            </w:r>
            <w:r>
              <w:rPr>
                <w:rFonts w:hint="eastAsia" w:cs="宋体" w:asciiTheme="minorEastAsia" w:hAnsiTheme="minorEastAsia" w:eastAsiaTheme="minorEastAsia"/>
                <w:color w:val="auto"/>
                <w:highlight w:val="none"/>
                <w:lang w:val="en-US" w:eastAsia="zh-CN"/>
              </w:rPr>
              <w:t>0</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bCs/>
                <w:color w:val="auto"/>
                <w:kern w:val="2"/>
                <w:sz w:val="21"/>
                <w:szCs w:val="21"/>
                <w:highlight w:val="none"/>
                <w:lang w:val="zh-CN" w:eastAsia="zh-CN" w:bidi="ar-SA"/>
              </w:rPr>
            </w:pPr>
            <w:r>
              <w:rPr>
                <w:rFonts w:hint="eastAsia" w:asciiTheme="minorEastAsia" w:hAnsiTheme="minorEastAsia" w:eastAsiaTheme="minorEastAsia"/>
                <w:bCs/>
                <w:color w:val="auto"/>
                <w:highlight w:val="none"/>
              </w:rPr>
              <w:t>成交供应商数量</w:t>
            </w:r>
          </w:p>
        </w:tc>
        <w:tc>
          <w:tcPr>
            <w:tcW w:w="6008" w:type="dxa"/>
            <w:vAlign w:val="center"/>
          </w:tcPr>
          <w:p>
            <w:pPr>
              <w:adjustRightInd w:val="0"/>
              <w:snapToGrid w:val="0"/>
              <w:spacing w:line="240" w:lineRule="auto"/>
              <w:ind w:firstLine="0" w:firstLineChars="0"/>
              <w:rPr>
                <w:rFonts w:hint="eastAsia" w:cs="宋体" w:asciiTheme="minorEastAsia" w:hAnsiTheme="minorEastAsia" w:eastAsiaTheme="minorEastAsia"/>
                <w:bCs/>
                <w:color w:val="auto"/>
                <w:kern w:val="2"/>
                <w:sz w:val="21"/>
                <w:szCs w:val="21"/>
                <w:highlight w:val="none"/>
                <w:lang w:val="zh-CN" w:eastAsia="zh-CN" w:bidi="ar-SA"/>
              </w:rPr>
            </w:pPr>
            <w:r>
              <w:rPr>
                <w:rFonts w:hint="eastAsia" w:cs="宋体" w:asciiTheme="minorEastAsia" w:hAnsiTheme="minorEastAsia" w:eastAsiaTheme="minorEastAsia"/>
                <w:bCs/>
                <w:color w:val="auto"/>
                <w:highlight w:val="none"/>
              </w:rPr>
              <w:t>确定</w:t>
            </w:r>
            <w:r>
              <w:rPr>
                <w:rFonts w:hint="eastAsia" w:cs="宋体" w:asciiTheme="minorEastAsia" w:hAnsiTheme="minorEastAsia" w:eastAsiaTheme="minorEastAsia"/>
                <w:bCs/>
                <w:color w:val="auto"/>
                <w:highlight w:val="none"/>
                <w:lang w:val="en-US" w:eastAsia="zh-CN"/>
              </w:rPr>
              <w:t>至少</w:t>
            </w:r>
            <w:r>
              <w:rPr>
                <w:rFonts w:hint="eastAsia" w:cs="宋体" w:asciiTheme="minorEastAsia" w:hAnsiTheme="minorEastAsia" w:eastAsiaTheme="minorEastAsia"/>
                <w:bCs/>
                <w:color w:val="auto"/>
                <w:highlight w:val="none"/>
              </w:rPr>
              <w:t>1名成交供应商</w:t>
            </w:r>
            <w:r>
              <w:rPr>
                <w:rFonts w:hint="eastAsia" w:cs="宋体" w:asciiTheme="minorEastAsia" w:hAnsiTheme="minorEastAsia" w:eastAsiaTheme="minorEastAsia"/>
                <w:bCs/>
                <w:color w:val="auto"/>
                <w:highlight w:val="none"/>
                <w:lang w:eastAsia="zh-CN"/>
              </w:rPr>
              <w:t>（</w:t>
            </w:r>
            <w:r>
              <w:rPr>
                <w:rFonts w:hint="eastAsia" w:cs="宋体" w:asciiTheme="minorEastAsia" w:hAnsiTheme="minorEastAsia" w:eastAsiaTheme="minorEastAsia"/>
                <w:bCs/>
                <w:color w:val="auto"/>
                <w:highlight w:val="none"/>
                <w:lang w:val="en-US" w:eastAsia="zh-CN"/>
              </w:rPr>
              <w:t>采购人确认</w:t>
            </w:r>
            <w:r>
              <w:rPr>
                <w:rFonts w:hint="eastAsia" w:cs="宋体" w:asciiTheme="minorEastAsia" w:hAnsiTheme="minorEastAsia" w:eastAsiaTheme="minorEastAsia"/>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lang w:val="zh-CN"/>
              </w:rPr>
              <w:t>2</w:t>
            </w:r>
            <w:r>
              <w:rPr>
                <w:rFonts w:hint="eastAsia" w:cs="宋体" w:asciiTheme="minorEastAsia" w:hAnsiTheme="minorEastAsia" w:eastAsiaTheme="minorEastAsia"/>
                <w:color w:val="auto"/>
                <w:highlight w:val="none"/>
                <w:lang w:val="en-US" w:eastAsia="zh-CN"/>
              </w:rPr>
              <w:t>1</w:t>
            </w:r>
          </w:p>
        </w:tc>
        <w:tc>
          <w:tcPr>
            <w:tcW w:w="1530" w:type="dxa"/>
            <w:vAlign w:val="center"/>
          </w:tcPr>
          <w:p>
            <w:pPr>
              <w:autoSpaceDE w:val="0"/>
              <w:autoSpaceDN w:val="0"/>
              <w:adjustRightInd w:val="0"/>
              <w:snapToGrid w:val="0"/>
              <w:spacing w:line="240" w:lineRule="auto"/>
              <w:ind w:firstLine="0" w:firstLineChars="0"/>
              <w:jc w:val="center"/>
              <w:rPr>
                <w:rFonts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履约保证金</w:t>
            </w:r>
          </w:p>
        </w:tc>
        <w:tc>
          <w:tcPr>
            <w:tcW w:w="6008" w:type="dxa"/>
            <w:vAlign w:val="center"/>
          </w:tcPr>
          <w:p>
            <w:pPr>
              <w:adjustRightInd w:val="0"/>
              <w:snapToGrid w:val="0"/>
              <w:spacing w:line="240" w:lineRule="auto"/>
              <w:ind w:firstLine="0" w:firstLineChars="0"/>
              <w:rPr>
                <w:rFonts w:ascii="仿宋" w:hAnsi="仿宋" w:eastAsia="仿宋" w:cs="仿宋"/>
                <w:color w:val="auto"/>
                <w:kern w:val="2"/>
                <w:sz w:val="21"/>
                <w:szCs w:val="21"/>
                <w:highlight w:val="none"/>
                <w:lang w:val="zh-CN" w:eastAsia="zh-CN" w:bidi="ar-SA"/>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hint="eastAsia" w:cs="宋体" w:asciiTheme="minorEastAsia" w:hAnsiTheme="minorEastAsia" w:eastAsiaTheme="minorEastAsia"/>
                <w:bCs/>
                <w:color w:val="auto"/>
                <w:highlight w:val="none"/>
                <w:lang w:eastAsia="zh-CN"/>
              </w:rPr>
              <w:instrText xml:space="preserve">,</w:instrText>
            </w:r>
            <w:r>
              <w:rPr>
                <w:rFonts w:hint="eastAsia" w:cs="宋体" w:asciiTheme="minorEastAsia" w:hAnsiTheme="minorEastAsia" w:eastAsiaTheme="minorEastAsia"/>
                <w:bCs/>
                <w:color w:val="auto"/>
                <w:position w:val="2"/>
                <w:sz w:val="13"/>
                <w:highlight w:val="none"/>
                <w:lang w:eastAsia="zh-CN"/>
              </w:rPr>
              <w:instrText xml:space="preserve">√</w:instrText>
            </w:r>
            <w:r>
              <w:rPr>
                <w:rFonts w:hint="eastAsia" w:cs="宋体" w:asciiTheme="minorEastAsia" w:hAnsiTheme="minorEastAsia" w:eastAsiaTheme="minorEastAsia"/>
                <w:bCs/>
                <w:color w:val="auto"/>
                <w:highlight w:val="none"/>
              </w:rPr>
              <w:instrText xml:space="preserve">)</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bCs/>
                <w:color w:val="auto"/>
                <w:highlight w:val="none"/>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9" w:type="dxa"/>
            <w:vAlign w:val="center"/>
          </w:tcPr>
          <w:p>
            <w:pPr>
              <w:autoSpaceDE w:val="0"/>
              <w:autoSpaceDN w:val="0"/>
              <w:adjustRightInd w:val="0"/>
              <w:snapToGrid w:val="0"/>
              <w:spacing w:line="240" w:lineRule="auto"/>
              <w:ind w:firstLine="0" w:firstLineChars="0"/>
              <w:jc w:val="center"/>
              <w:rPr>
                <w:rFonts w:hint="eastAsia" w:cs="宋体" w:asciiTheme="minorEastAsia" w:hAnsiTheme="minorEastAsia" w:eastAsiaTheme="minorEastAsia"/>
                <w:color w:val="auto"/>
                <w:kern w:val="2"/>
                <w:sz w:val="21"/>
                <w:szCs w:val="21"/>
                <w:highlight w:val="none"/>
                <w:lang w:val="zh-CN" w:eastAsia="zh-CN" w:bidi="ar-SA"/>
              </w:rPr>
            </w:pPr>
            <w:r>
              <w:rPr>
                <w:rFonts w:hint="eastAsia" w:cs="宋体" w:asciiTheme="minorEastAsia" w:hAnsiTheme="minorEastAsia" w:eastAsiaTheme="minorEastAsia"/>
                <w:color w:val="auto"/>
                <w:highlight w:val="none"/>
              </w:rPr>
              <w:t>2</w:t>
            </w:r>
            <w:r>
              <w:rPr>
                <w:rFonts w:hint="eastAsia" w:cs="宋体" w:asciiTheme="minorEastAsia" w:hAnsiTheme="minorEastAsia" w:eastAsiaTheme="minorEastAsia"/>
                <w:color w:val="auto"/>
                <w:highlight w:val="none"/>
                <w:lang w:val="en-US" w:eastAsia="zh-CN"/>
              </w:rPr>
              <w:t>2</w:t>
            </w:r>
          </w:p>
        </w:tc>
        <w:tc>
          <w:tcPr>
            <w:tcW w:w="1530" w:type="dxa"/>
            <w:vAlign w:val="center"/>
          </w:tcPr>
          <w:p>
            <w:pPr>
              <w:autoSpaceDE w:val="0"/>
              <w:autoSpaceDN w:val="0"/>
              <w:adjustRightInd w:val="0"/>
              <w:snapToGrid w:val="0"/>
              <w:spacing w:line="240" w:lineRule="auto"/>
              <w:ind w:firstLine="0" w:firstLineChars="0"/>
              <w:jc w:val="center"/>
              <w:rPr>
                <w:rFonts w:hint="eastAsia" w:cs="仿宋" w:asciiTheme="minorEastAsia" w:hAnsiTheme="minorEastAsia" w:eastAsiaTheme="minorEastAsia"/>
                <w:color w:val="auto"/>
                <w:kern w:val="2"/>
                <w:sz w:val="21"/>
                <w:szCs w:val="21"/>
                <w:highlight w:val="none"/>
                <w:lang w:val="zh-CN" w:eastAsia="zh-CN" w:bidi="ar-SA"/>
              </w:rPr>
            </w:pPr>
            <w:r>
              <w:rPr>
                <w:rFonts w:hint="eastAsia" w:asciiTheme="minorEastAsia" w:hAnsiTheme="minorEastAsia" w:eastAsiaTheme="minorEastAsia"/>
                <w:color w:val="auto"/>
                <w:highlight w:val="none"/>
                <w:lang w:val="zh-CN"/>
              </w:rPr>
              <w:t>代理</w:t>
            </w:r>
            <w:r>
              <w:rPr>
                <w:rFonts w:hint="eastAsia" w:asciiTheme="minorEastAsia" w:hAnsiTheme="minorEastAsia" w:eastAsiaTheme="minorEastAsia"/>
                <w:color w:val="auto"/>
                <w:highlight w:val="none"/>
                <w:lang w:val="en-US" w:eastAsia="zh-CN"/>
              </w:rPr>
              <w:t>机构</w:t>
            </w:r>
          </w:p>
        </w:tc>
        <w:tc>
          <w:tcPr>
            <w:tcW w:w="6008" w:type="dxa"/>
            <w:vAlign w:val="center"/>
          </w:tcPr>
          <w:p>
            <w:pPr>
              <w:adjustRightInd w:val="0"/>
              <w:snapToGrid w:val="0"/>
              <w:spacing w:line="240" w:lineRule="auto"/>
              <w:ind w:firstLine="0" w:firstLineChars="0"/>
              <w:rPr>
                <w:rFonts w:hint="default" w:cs="宋体" w:asciiTheme="minorEastAsia" w:hAnsiTheme="minorEastAsia" w:eastAsiaTheme="minorEastAsia"/>
                <w:bCs/>
                <w:color w:val="auto"/>
                <w:kern w:val="2"/>
                <w:sz w:val="21"/>
                <w:szCs w:val="21"/>
                <w:highlight w:val="none"/>
                <w:lang w:val="en-US" w:eastAsia="zh-CN" w:bidi="ar-SA"/>
              </w:rPr>
            </w:pPr>
            <w:r>
              <w:rPr>
                <w:rFonts w:cs="宋体" w:asciiTheme="minorEastAsia" w:hAnsiTheme="minorEastAsia" w:eastAsiaTheme="minorEastAsia"/>
                <w:bCs/>
                <w:color w:val="auto"/>
                <w:highlight w:val="none"/>
              </w:rPr>
              <w:fldChar w:fldCharType="begin"/>
            </w:r>
            <w:r>
              <w:rPr>
                <w:rFonts w:hint="eastAsia" w:cs="宋体" w:asciiTheme="minorEastAsia" w:hAnsiTheme="minorEastAsia" w:eastAsiaTheme="minorEastAsia"/>
                <w:bCs/>
                <w:color w:val="auto"/>
                <w:highlight w:val="none"/>
              </w:rPr>
              <w:instrText xml:space="preserve">eq \o\ac(□</w:instrText>
            </w:r>
            <w:r>
              <w:rPr>
                <w:rFonts w:hint="eastAsia" w:cs="宋体" w:asciiTheme="minorEastAsia" w:hAnsiTheme="minorEastAsia" w:eastAsiaTheme="minorEastAsia"/>
                <w:bCs/>
                <w:color w:val="auto"/>
                <w:highlight w:val="none"/>
                <w:lang w:eastAsia="zh-CN"/>
              </w:rPr>
              <w:instrText xml:space="preserve">,</w:instrText>
            </w:r>
            <w:r>
              <w:rPr>
                <w:rFonts w:hint="eastAsia" w:cs="宋体" w:asciiTheme="minorEastAsia" w:hAnsiTheme="minorEastAsia" w:eastAsiaTheme="minorEastAsia"/>
                <w:bCs/>
                <w:color w:val="auto"/>
                <w:position w:val="2"/>
                <w:sz w:val="13"/>
                <w:highlight w:val="none"/>
                <w:lang w:eastAsia="zh-CN"/>
              </w:rPr>
              <w:instrText xml:space="preserve">√</w:instrText>
            </w:r>
            <w:r>
              <w:rPr>
                <w:rFonts w:hint="eastAsia" w:cs="宋体" w:asciiTheme="minorEastAsia" w:hAnsiTheme="minorEastAsia" w:eastAsiaTheme="minorEastAsia"/>
                <w:bCs/>
                <w:color w:val="auto"/>
                <w:highlight w:val="none"/>
              </w:rPr>
              <w:instrText xml:space="preserve">)</w:instrText>
            </w:r>
            <w:r>
              <w:rPr>
                <w:rFonts w:cs="宋体" w:asciiTheme="minorEastAsia" w:hAnsiTheme="minorEastAsia" w:eastAsiaTheme="minorEastAsia"/>
                <w:bCs/>
                <w:color w:val="auto"/>
                <w:highlight w:val="none"/>
              </w:rPr>
              <w:fldChar w:fldCharType="end"/>
            </w:r>
            <w:r>
              <w:rPr>
                <w:rFonts w:hint="eastAsia" w:cs="宋体" w:asciiTheme="minorEastAsia" w:hAnsiTheme="minorEastAsia" w:eastAsiaTheme="minorEastAsia"/>
                <w:bCs/>
                <w:color w:val="auto"/>
                <w:highlight w:val="none"/>
                <w:lang w:val="zh-CN"/>
              </w:rPr>
              <w:t>无</w:t>
            </w:r>
            <w:r>
              <w:rPr>
                <w:rFonts w:hint="eastAsia" w:cs="宋体" w:asciiTheme="minorEastAsia" w:hAnsiTheme="minorEastAsia" w:eastAsiaTheme="minorEastAsia"/>
                <w:bCs/>
                <w:color w:val="auto"/>
                <w:highlight w:val="none"/>
                <w:lang w:val="en-US" w:eastAsia="zh-CN"/>
              </w:rPr>
              <w:t xml:space="preserve"> 代理费：无</w:t>
            </w:r>
          </w:p>
        </w:tc>
      </w:tr>
    </w:tbl>
    <w:p>
      <w:pPr>
        <w:ind w:firstLine="422"/>
        <w:rPr>
          <w:rFonts w:asciiTheme="minorEastAsia" w:hAnsiTheme="minorEastAsia" w:eastAsiaTheme="minorEastAsia"/>
          <w:b/>
          <w:color w:val="auto"/>
          <w:highlight w:val="none"/>
          <w:lang w:val="zh-CN"/>
        </w:rPr>
      </w:pPr>
      <w:r>
        <w:rPr>
          <w:rFonts w:hint="eastAsia" w:asciiTheme="minorEastAsia" w:hAnsiTheme="minorEastAsia" w:eastAsiaTheme="minorEastAsia"/>
          <w:b/>
          <w:snapToGrid w:val="0"/>
          <w:color w:val="auto"/>
          <w:highlight w:val="none"/>
          <w:lang w:val="zh-CN"/>
        </w:rPr>
        <w:t>注意：供应商应随时关注第一章“竞争性谈判公告”中指定网站发布的本采购项目的相关信息（答疑、澄清公告等）。</w:t>
      </w:r>
    </w:p>
    <w:p>
      <w:pPr>
        <w:autoSpaceDE w:val="0"/>
        <w:autoSpaceDN w:val="0"/>
        <w:snapToGrid w:val="0"/>
        <w:ind w:firstLine="42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b/>
          <w:color w:val="auto"/>
          <w:highlight w:val="none"/>
        </w:rPr>
        <w:t>供应商须知</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一、总　则</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1、适用范围</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1.1</w:t>
      </w:r>
      <w:r>
        <w:rPr>
          <w:rFonts w:hint="eastAsia" w:asciiTheme="minorEastAsia" w:hAnsiTheme="minorEastAsia" w:eastAsiaTheme="minorEastAsia"/>
          <w:color w:val="auto"/>
          <w:highlight w:val="none"/>
        </w:rPr>
        <w:t>、本文件仅适用于第一章“竞争性谈判公告”所列项目的货物、工程及服务的采购。</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2、当事人定义</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2.1</w:t>
      </w:r>
      <w:r>
        <w:rPr>
          <w:rFonts w:hint="eastAsia" w:asciiTheme="minorEastAsia" w:hAnsiTheme="minorEastAsia" w:eastAsiaTheme="minorEastAsia"/>
          <w:color w:val="auto"/>
          <w:highlight w:val="none"/>
        </w:rPr>
        <w:t>、“采购人”是指：详见第一章“竞争性谈判公告”。</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2.2</w:t>
      </w:r>
      <w:r>
        <w:rPr>
          <w:rFonts w:hint="eastAsia" w:asciiTheme="minorEastAsia" w:hAnsiTheme="minorEastAsia" w:eastAsiaTheme="minorEastAsia"/>
          <w:color w:val="auto"/>
          <w:highlight w:val="none"/>
        </w:rPr>
        <w:t>、“监管机构”是指：详见《供应商须知前附表》。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2.3</w:t>
      </w:r>
      <w:r>
        <w:rPr>
          <w:rFonts w:hint="eastAsia" w:asciiTheme="minorEastAsia" w:hAnsiTheme="minorEastAsia" w:eastAsiaTheme="minorEastAsia"/>
          <w:color w:val="auto"/>
          <w:highlight w:val="none"/>
        </w:rPr>
        <w:t>、“采购代理机构”是指：详见第一章“竞争性谈判公告”。</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2.4</w:t>
      </w:r>
      <w:r>
        <w:rPr>
          <w:rFonts w:hint="eastAsia" w:asciiTheme="minorEastAsia" w:hAnsiTheme="minorEastAsia" w:eastAsiaTheme="minorEastAsia"/>
          <w:color w:val="auto"/>
          <w:highlight w:val="none"/>
        </w:rPr>
        <w:t>、“谈判小组”是指：依法组建的竞争性谈判小组。</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2.5</w:t>
      </w:r>
      <w:r>
        <w:rPr>
          <w:rFonts w:hint="eastAsia" w:asciiTheme="minorEastAsia" w:hAnsiTheme="minorEastAsia" w:eastAsiaTheme="minorEastAsia"/>
          <w:color w:val="auto"/>
          <w:highlight w:val="none"/>
        </w:rPr>
        <w:t>、“供应商”是指：响应竞争性</w:t>
      </w:r>
      <w:r>
        <w:rPr>
          <w:rFonts w:asciiTheme="minorEastAsia" w:hAnsiTheme="minorEastAsia" w:eastAsiaTheme="minorEastAsia"/>
          <w:color w:val="auto"/>
          <w:highlight w:val="none"/>
        </w:rPr>
        <w:t>谈判</w:t>
      </w:r>
      <w:r>
        <w:rPr>
          <w:rFonts w:hint="eastAsia" w:asciiTheme="minorEastAsia" w:hAnsiTheme="minorEastAsia" w:eastAsiaTheme="minorEastAsia"/>
          <w:color w:val="auto"/>
          <w:highlight w:val="none"/>
        </w:rPr>
        <w:t>公告要求、获取了竞争性谈判采购文件并参加本次竞争性谈判的法人、其他组织或者自然人。</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2.6</w:t>
      </w:r>
      <w:r>
        <w:rPr>
          <w:rFonts w:hint="eastAsia" w:asciiTheme="minorEastAsia" w:hAnsiTheme="minorEastAsia" w:eastAsiaTheme="minorEastAsia"/>
          <w:color w:val="auto"/>
          <w:highlight w:val="none"/>
        </w:rPr>
        <w:t>、“合格的供应商”是指：经谈判小组资格性审查和符合性审查合格的供应商。如果该供应</w:t>
      </w:r>
      <w:r>
        <w:rPr>
          <w:rFonts w:hint="eastAsia" w:asciiTheme="minorEastAsia" w:hAnsiTheme="minorEastAsia" w:eastAsiaTheme="minorEastAsia"/>
          <w:bCs/>
          <w:color w:val="auto"/>
          <w:highlight w:val="none"/>
        </w:rPr>
        <w:t>商在本次谈判中成交，即成为</w:t>
      </w:r>
      <w:r>
        <w:rPr>
          <w:rFonts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rPr>
        <w:t>成交供应商</w:t>
      </w:r>
      <w:r>
        <w:rPr>
          <w:rFonts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3、项目属性及定义</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3.1、“货物”是指：各种形态和种类的物品，包括原材料、燃料、设备、产品等。</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3.1.1、采购文件中没有提及采购货物来源地的，根据《政府采购法》及相关规定均应是本国货物，另有规定的除外。</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3.1.2、响应的货物应是合法生产的符合国家有关标准要求的货物，且是全新、原装正品，并能够按照合同规定的品牌、产地、质量、价格和有效期等履约。</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3.2、“工程”是指：建设工程，包括建筑物和构筑物的新建、改建、扩建、装修、拆除、修缮等。</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3.3、“服务”是指：除货物（指各种形态和种类的物品，包括原材料、燃料、设备、产品等）和工程（指建设工程，包括建筑物和构筑物的新建、改建、扩建及其相关的装修、拆除、修缮等）以外的其他采购对象</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包括采购人自身需要的服务和采购人向社会公众提供的公共服务。</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3.4、采购人应当按照财政部制定的《政府采购品目分类目录》确定采购项目属性。按照《政府采购品目分类目录》无法确定的，按照有利于采购项目实施的原则确定。</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4、费用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4.1</w:t>
      </w:r>
      <w:r>
        <w:rPr>
          <w:rFonts w:hint="eastAsia" w:asciiTheme="minorEastAsia" w:hAnsiTheme="minorEastAsia" w:eastAsiaTheme="minorEastAsia"/>
          <w:color w:val="auto"/>
          <w:highlight w:val="none"/>
        </w:rPr>
        <w:t>、供应商应自行承担所有与编写和提交响应文件有关的费用，不论谈判结果如何，采购人和采购代理机构在任何情况下无义务和责任承担此类费用。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4.2</w:t>
      </w:r>
      <w:r>
        <w:rPr>
          <w:rFonts w:hint="eastAsia" w:asciiTheme="minorEastAsia" w:hAnsiTheme="minorEastAsia" w:eastAsiaTheme="minorEastAsia"/>
          <w:color w:val="auto"/>
          <w:highlight w:val="none"/>
        </w:rPr>
        <w:t>、采购代理服务费由成交供应商在领取成交通知书的同时向采购代理机构支付，并领取发票。服务费支付标准和方法详见《供应商须知前附表》。</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4.3、其他供应商须知前附表中提到的费用。</w:t>
      </w:r>
    </w:p>
    <w:p>
      <w:pPr>
        <w:ind w:left="105" w:hanging="105" w:hangingChars="50"/>
        <w:rPr>
          <w:rFonts w:asciiTheme="minorEastAsia" w:hAnsiTheme="minorEastAsia" w:eastAsiaTheme="minorEastAsia"/>
          <w:b/>
          <w:color w:val="auto"/>
          <w:highlight w:val="none"/>
        </w:rPr>
      </w:pPr>
      <w:bookmarkStart w:id="2" w:name="_Toc515822975"/>
      <w:bookmarkStart w:id="3" w:name="_Toc11338"/>
      <w:r>
        <w:rPr>
          <w:rFonts w:hint="eastAsia" w:asciiTheme="minorEastAsia" w:hAnsiTheme="minorEastAsia" w:eastAsiaTheme="minorEastAsia"/>
          <w:b/>
          <w:color w:val="auto"/>
          <w:highlight w:val="none"/>
        </w:rPr>
        <w:t>二、竞争性谈判采购文件</w:t>
      </w:r>
      <w:bookmarkEnd w:id="2"/>
      <w:bookmarkEnd w:id="3"/>
    </w:p>
    <w:p>
      <w:pPr>
        <w:ind w:firstLine="420"/>
        <w:rPr>
          <w:rFonts w:asciiTheme="minorEastAsia" w:hAnsiTheme="minorEastAsia" w:eastAsiaTheme="minorEastAsia"/>
          <w:color w:val="auto"/>
          <w:highlight w:val="none"/>
        </w:rPr>
      </w:pPr>
      <w:bookmarkStart w:id="4" w:name="_Toc8965"/>
      <w:bookmarkStart w:id="5" w:name="_Toc11090"/>
      <w:bookmarkStart w:id="6" w:name="_Toc12941"/>
      <w:bookmarkStart w:id="7" w:name="_Toc515822976"/>
      <w:bookmarkStart w:id="8" w:name="_Toc27794"/>
      <w:bookmarkStart w:id="9" w:name="_Toc5599"/>
      <w:r>
        <w:rPr>
          <w:rFonts w:hint="eastAsia" w:asciiTheme="minorEastAsia" w:hAnsiTheme="minorEastAsia" w:eastAsiaTheme="minorEastAsia"/>
          <w:color w:val="auto"/>
          <w:highlight w:val="none"/>
        </w:rPr>
        <w:t>5、竞争性谈判采购文件的构成</w:t>
      </w:r>
      <w:bookmarkEnd w:id="4"/>
      <w:bookmarkEnd w:id="5"/>
      <w:bookmarkEnd w:id="6"/>
      <w:bookmarkEnd w:id="7"/>
      <w:bookmarkEnd w:id="8"/>
      <w:bookmarkEnd w:id="9"/>
    </w:p>
    <w:p>
      <w:pPr>
        <w:ind w:firstLine="420"/>
        <w:rPr>
          <w:rFonts w:asciiTheme="minorEastAsia" w:hAnsiTheme="minorEastAsia" w:eastAsiaTheme="minorEastAsia"/>
          <w:color w:val="auto"/>
          <w:highlight w:val="none"/>
        </w:rPr>
      </w:pPr>
      <w:r>
        <w:rPr>
          <w:rFonts w:hint="eastAsia" w:asciiTheme="minorEastAsia" w:hAnsiTheme="minorEastAsia" w:eastAsiaTheme="minorEastAsia"/>
          <w:snapToGrid w:val="0"/>
          <w:color w:val="auto"/>
          <w:kern w:val="0"/>
          <w:highlight w:val="none"/>
          <w:lang w:val="zh-CN"/>
        </w:rPr>
        <w:t>5.1、本竞争性谈判采购文件包括：</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5.1.1、竞争性谈判公告</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5.1.2、供应商须知</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5.1.3、采购需求</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5.1.4、评审办法</w:t>
      </w:r>
    </w:p>
    <w:p>
      <w:pPr>
        <w:ind w:firstLine="420"/>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5.1.5、合同书</w:t>
      </w:r>
      <w:r>
        <w:rPr>
          <w:rFonts w:hint="eastAsia" w:asciiTheme="minorEastAsia" w:hAnsiTheme="minorEastAsia" w:eastAsiaTheme="minorEastAsia"/>
          <w:color w:val="auto"/>
          <w:highlight w:val="none"/>
          <w:lang w:val="en-US" w:eastAsia="zh-CN"/>
        </w:rPr>
        <w:t>主要条款</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5.1.6、响应文件格式</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5.1.7、采购过程中由采购人、采购代理机构发出的澄清和修改文件（如有）</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5.1.8、谈判小组在谈判过程中发出的对采购文件的实质性变动（如有）</w:t>
      </w:r>
    </w:p>
    <w:p>
      <w:pPr>
        <w:ind w:firstLine="420"/>
        <w:rPr>
          <w:rFonts w:asciiTheme="minorEastAsia" w:hAnsiTheme="minorEastAsia" w:eastAsiaTheme="minorEastAsia"/>
          <w:snapToGrid w:val="0"/>
          <w:color w:val="auto"/>
          <w:kern w:val="0"/>
          <w:highlight w:val="none"/>
          <w:lang w:val="zh-CN"/>
        </w:rPr>
      </w:pPr>
      <w:bookmarkStart w:id="10" w:name="_Toc15260"/>
      <w:bookmarkStart w:id="11" w:name="_Toc515822977"/>
      <w:bookmarkStart w:id="12" w:name="_Toc7789"/>
      <w:bookmarkStart w:id="13" w:name="_Toc9303"/>
      <w:bookmarkStart w:id="14" w:name="_Toc4846"/>
      <w:bookmarkStart w:id="15" w:name="_Toc13694"/>
      <w:r>
        <w:rPr>
          <w:rFonts w:hint="eastAsia" w:asciiTheme="minorEastAsia" w:hAnsiTheme="minorEastAsia" w:eastAsiaTheme="minorEastAsia"/>
          <w:snapToGrid w:val="0"/>
          <w:color w:val="auto"/>
          <w:kern w:val="0"/>
          <w:highlight w:val="none"/>
          <w:lang w:val="zh-CN"/>
        </w:rPr>
        <w:t>6、竞争性谈判采购文件的澄清</w:t>
      </w:r>
      <w:bookmarkEnd w:id="10"/>
      <w:bookmarkEnd w:id="11"/>
      <w:bookmarkEnd w:id="12"/>
      <w:bookmarkEnd w:id="13"/>
      <w:bookmarkEnd w:id="14"/>
      <w:bookmarkEnd w:id="15"/>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6.1、供应商获取采购文件后，应认真检查，如发现页数不全、附件缺失、印刷模糊等，应及时通知采购代理机构补全或更换，否则风险自负。</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6.2、供应商有疑问要求采购人或代理机构对采购文件进行澄清的，应以书面形式（包括信函、电子邮件等可以有形地表现所载内容的形式；下同）在提疑截止时间以前向采购人或采购代理机构提出。提疑截止时间见《供应商须知前附表》。</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6.3、对于符合澄清要求的，采购代理机构将视情况以书面形式给所有接收采购文件的供应商予以答复</w:t>
      </w:r>
      <w:r>
        <w:rPr>
          <w:rFonts w:asciiTheme="minorEastAsia" w:hAnsiTheme="minorEastAsia" w:eastAsiaTheme="minorEastAsia"/>
          <w:snapToGrid w:val="0"/>
          <w:color w:val="auto"/>
          <w:kern w:val="0"/>
          <w:highlight w:val="none"/>
          <w:lang w:val="zh-CN"/>
        </w:rPr>
        <w:t>(</w:t>
      </w:r>
      <w:r>
        <w:rPr>
          <w:rFonts w:hint="eastAsia" w:asciiTheme="minorEastAsia" w:hAnsiTheme="minorEastAsia" w:eastAsiaTheme="minorEastAsia"/>
          <w:snapToGrid w:val="0"/>
          <w:color w:val="auto"/>
          <w:kern w:val="0"/>
          <w:highlight w:val="none"/>
          <w:lang w:val="zh-CN"/>
        </w:rPr>
        <w:t>答复中不包括问题的来源</w:t>
      </w:r>
      <w:r>
        <w:rPr>
          <w:rFonts w:asciiTheme="minorEastAsia" w:hAnsiTheme="minorEastAsia" w:eastAsiaTheme="minorEastAsia"/>
          <w:snapToGrid w:val="0"/>
          <w:color w:val="auto"/>
          <w:kern w:val="0"/>
          <w:highlight w:val="none"/>
          <w:lang w:val="zh-CN"/>
        </w:rPr>
        <w:t>)</w:t>
      </w:r>
      <w:r>
        <w:rPr>
          <w:rFonts w:hint="eastAsia" w:asciiTheme="minorEastAsia" w:hAnsiTheme="minorEastAsia" w:eastAsiaTheme="minorEastAsia"/>
          <w:snapToGrid w:val="0"/>
          <w:color w:val="auto"/>
          <w:kern w:val="0"/>
          <w:highlight w:val="none"/>
          <w:lang w:val="zh-CN"/>
        </w:rPr>
        <w:t>，供应商应在收到答复后</w:t>
      </w:r>
      <w:r>
        <w:rPr>
          <w:rFonts w:asciiTheme="minorEastAsia" w:hAnsiTheme="minorEastAsia" w:eastAsiaTheme="minorEastAsia"/>
          <w:snapToGrid w:val="0"/>
          <w:color w:val="auto"/>
          <w:kern w:val="0"/>
          <w:highlight w:val="none"/>
          <w:lang w:val="zh-CN"/>
        </w:rPr>
        <w:t>24</w:t>
      </w:r>
      <w:r>
        <w:rPr>
          <w:rFonts w:hint="eastAsia" w:asciiTheme="minorEastAsia" w:hAnsiTheme="minorEastAsia" w:eastAsiaTheme="minorEastAsia"/>
          <w:snapToGrid w:val="0"/>
          <w:color w:val="auto"/>
          <w:kern w:val="0"/>
          <w:highlight w:val="none"/>
          <w:lang w:val="zh-CN"/>
        </w:rPr>
        <w:t>小时内以书面形式向采购代理机构予以确认。</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6.4、采购人、采购代理机构可以视采购项目的具体情况，组织供应商进行现场考察或召开谈判前答疑会，但不得单独或分别组织只有一个供应商参加的现场考察和答疑会。</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6.5、供应商未在规定的时间内对采购文件提出澄清或疑问的，采购代理机构将视其为同意。</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6.6、澄清的内容将作为采购文件的组成部分，当采购文件、澄清文件对同一内容的表述不一致时，以最后发出的书面文件为准。</w:t>
      </w:r>
    </w:p>
    <w:p>
      <w:pPr>
        <w:ind w:firstLine="420"/>
        <w:rPr>
          <w:rFonts w:asciiTheme="minorEastAsia" w:hAnsiTheme="minorEastAsia" w:eastAsiaTheme="minorEastAsia"/>
          <w:snapToGrid w:val="0"/>
          <w:color w:val="auto"/>
          <w:kern w:val="0"/>
          <w:highlight w:val="none"/>
          <w:lang w:val="zh-CN"/>
        </w:rPr>
      </w:pPr>
      <w:bookmarkStart w:id="16" w:name="_Toc15576"/>
      <w:bookmarkStart w:id="17" w:name="_Toc15537"/>
      <w:bookmarkStart w:id="18" w:name="_Toc10204"/>
      <w:bookmarkStart w:id="19" w:name="_Toc21791"/>
      <w:bookmarkStart w:id="20" w:name="_Toc515822978"/>
      <w:bookmarkStart w:id="21" w:name="_Toc12398"/>
      <w:r>
        <w:rPr>
          <w:rFonts w:hint="eastAsia" w:asciiTheme="minorEastAsia" w:hAnsiTheme="minorEastAsia" w:eastAsiaTheme="minorEastAsia"/>
          <w:snapToGrid w:val="0"/>
          <w:color w:val="auto"/>
          <w:kern w:val="0"/>
          <w:highlight w:val="none"/>
          <w:lang w:val="zh-CN"/>
        </w:rPr>
        <w:t>7、竞争性谈判采购文件的修改</w:t>
      </w:r>
      <w:bookmarkEnd w:id="16"/>
      <w:bookmarkEnd w:id="17"/>
      <w:bookmarkEnd w:id="18"/>
      <w:bookmarkEnd w:id="19"/>
      <w:bookmarkEnd w:id="20"/>
      <w:bookmarkEnd w:id="21"/>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7.1、</w:t>
      </w:r>
      <w:r>
        <w:rPr>
          <w:rFonts w:asciiTheme="minorEastAsia" w:hAnsiTheme="minorEastAsia" w:eastAsiaTheme="minorEastAsia"/>
          <w:snapToGrid w:val="0"/>
          <w:color w:val="auto"/>
          <w:kern w:val="0"/>
          <w:highlight w:val="none"/>
        </w:rPr>
        <w:t>提交首次响应文件截止之日前，采购人、采购代理机构或者谈判小组可以对已发出的采购文件进行必要的澄清或者修改，澄清或者修改的内容作为采购文件的组成部分。</w:t>
      </w:r>
      <w:r>
        <w:rPr>
          <w:rFonts w:hint="eastAsia" w:asciiTheme="minorEastAsia" w:hAnsiTheme="minorEastAsia" w:eastAsiaTheme="minorEastAsia"/>
          <w:snapToGrid w:val="0"/>
          <w:color w:val="auto"/>
          <w:kern w:val="0"/>
          <w:highlight w:val="none"/>
          <w:lang w:val="zh-CN"/>
        </w:rPr>
        <w:t>澄清</w:t>
      </w:r>
      <w:r>
        <w:rPr>
          <w:rFonts w:asciiTheme="minorEastAsia" w:hAnsiTheme="minorEastAsia" w:eastAsiaTheme="minorEastAsia"/>
          <w:snapToGrid w:val="0"/>
          <w:color w:val="auto"/>
          <w:kern w:val="0"/>
          <w:highlight w:val="none"/>
        </w:rPr>
        <w:t>或者</w:t>
      </w:r>
      <w:r>
        <w:rPr>
          <w:rFonts w:hint="eastAsia" w:asciiTheme="minorEastAsia" w:hAnsiTheme="minorEastAsia" w:eastAsiaTheme="minorEastAsia"/>
          <w:snapToGrid w:val="0"/>
          <w:color w:val="auto"/>
          <w:kern w:val="0"/>
          <w:highlight w:val="none"/>
          <w:lang w:val="zh-CN"/>
        </w:rPr>
        <w:t>修改将由采购代理机构以书面形式通知所有接受采购文件的供应商。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7.2、当采购文件和澄清</w:t>
      </w:r>
      <w:r>
        <w:rPr>
          <w:rFonts w:hint="eastAsia" w:asciiTheme="minorEastAsia" w:hAnsiTheme="minorEastAsia" w:eastAsiaTheme="minorEastAsia"/>
          <w:snapToGrid w:val="0"/>
          <w:color w:val="auto"/>
          <w:kern w:val="0"/>
          <w:highlight w:val="none"/>
        </w:rPr>
        <w:t>、</w:t>
      </w:r>
      <w:r>
        <w:rPr>
          <w:rFonts w:hint="eastAsia" w:asciiTheme="minorEastAsia" w:hAnsiTheme="minorEastAsia" w:eastAsiaTheme="minorEastAsia"/>
          <w:snapToGrid w:val="0"/>
          <w:color w:val="auto"/>
          <w:kern w:val="0"/>
          <w:highlight w:val="none"/>
          <w:lang w:val="zh-CN"/>
        </w:rPr>
        <w:t>修改文件对同一内容的表述不一致时，以最后发出的书面文件为准。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7.3、</w:t>
      </w:r>
      <w:r>
        <w:rPr>
          <w:rFonts w:asciiTheme="minorEastAsia" w:hAnsiTheme="minorEastAsia" w:eastAsiaTheme="minorEastAsia"/>
          <w:snapToGrid w:val="0"/>
          <w:color w:val="auto"/>
          <w:kern w:val="0"/>
          <w:highlight w:val="none"/>
        </w:rPr>
        <w:t>澄清或者修改的内容可能影响响应文件编制的，采购人、采购代理机构或者谈判小组应当在提交首次响应文件截止之日3个工作日前，以书面形式通知所有接收采购文件的供应商，不足3个工作日的，应当顺延提交首次响应文件截止之日。</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8、现场踏勘</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8.1、《供应商须知前附表》规定组织踏勘现场的，采购代理机构按《供应商须知前附表》规定的时间、地点组织供应商踏勘项目现场。</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8.2、供应商踏勘现场发生的费用自理。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8.3、除采购人和采购代理机构的原因外，供应商自行负责在踏勘现场中所发生的人员伤亡和财产损失。</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8.4采购人在踏勘现场中介绍的项目场地和相关的周边环境情况，供应商在编制响应文件时参考，采购人和采购代理机构不对供应商据此作出的判断和决策负责。</w:t>
      </w: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三、竞争性谈判响应文件</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9、竞争性谈判响应文件（以下简称“响应文件”）是指：供应商根据采购文件要求编制的包含价格、商务、技术和服务及供应商认为其他必须提交的资料等所有内容的文件。</w:t>
      </w:r>
    </w:p>
    <w:p>
      <w:pPr>
        <w:ind w:firstLine="420"/>
        <w:rPr>
          <w:rFonts w:asciiTheme="minorEastAsia" w:hAnsiTheme="minorEastAsia" w:eastAsiaTheme="minorEastAsia"/>
          <w:snapToGrid w:val="0"/>
          <w:color w:val="auto"/>
          <w:kern w:val="0"/>
          <w:highlight w:val="none"/>
          <w:lang w:val="zh-CN"/>
        </w:rPr>
      </w:pPr>
      <w:bookmarkStart w:id="22" w:name="_Toc515822981"/>
      <w:bookmarkStart w:id="23" w:name="_Toc3395"/>
      <w:bookmarkStart w:id="24" w:name="_Toc12368"/>
      <w:bookmarkStart w:id="25" w:name="_Toc1193"/>
      <w:bookmarkStart w:id="26" w:name="_Toc12029"/>
      <w:bookmarkStart w:id="27" w:name="_Toc10866"/>
      <w:r>
        <w:rPr>
          <w:rFonts w:hint="eastAsia" w:asciiTheme="minorEastAsia" w:hAnsiTheme="minorEastAsia" w:eastAsiaTheme="minorEastAsia"/>
          <w:snapToGrid w:val="0"/>
          <w:color w:val="auto"/>
          <w:kern w:val="0"/>
          <w:highlight w:val="none"/>
          <w:lang w:val="zh-CN"/>
        </w:rPr>
        <w:t>10、响应文件</w:t>
      </w:r>
      <w:bookmarkEnd w:id="22"/>
      <w:bookmarkEnd w:id="23"/>
      <w:bookmarkEnd w:id="24"/>
      <w:bookmarkEnd w:id="25"/>
      <w:bookmarkEnd w:id="26"/>
      <w:bookmarkEnd w:id="27"/>
      <w:r>
        <w:rPr>
          <w:rFonts w:hint="eastAsia" w:asciiTheme="minorEastAsia" w:hAnsiTheme="minorEastAsia" w:eastAsiaTheme="minorEastAsia"/>
          <w:snapToGrid w:val="0"/>
          <w:color w:val="auto"/>
          <w:kern w:val="0"/>
          <w:highlight w:val="none"/>
          <w:lang w:val="zh-CN"/>
        </w:rPr>
        <w:t>内容及参考格式详见第六章“响应文件格式”。</w:t>
      </w:r>
    </w:p>
    <w:p>
      <w:pPr>
        <w:ind w:firstLine="420"/>
        <w:rPr>
          <w:rFonts w:asciiTheme="minorEastAsia" w:hAnsiTheme="minorEastAsia" w:eastAsiaTheme="minorEastAsia"/>
          <w:snapToGrid w:val="0"/>
          <w:color w:val="auto"/>
          <w:kern w:val="0"/>
          <w:highlight w:val="none"/>
          <w:lang w:val="zh-CN"/>
        </w:rPr>
      </w:pPr>
      <w:bookmarkStart w:id="28" w:name="_Toc30611"/>
      <w:bookmarkStart w:id="29" w:name="_Toc23412"/>
      <w:bookmarkStart w:id="30" w:name="_Toc515822982"/>
      <w:bookmarkStart w:id="31" w:name="_Toc1603"/>
      <w:bookmarkStart w:id="32" w:name="_Toc16830"/>
      <w:bookmarkStart w:id="33" w:name="_Toc6812"/>
      <w:r>
        <w:rPr>
          <w:rFonts w:hint="eastAsia" w:asciiTheme="minorEastAsia" w:hAnsiTheme="minorEastAsia" w:eastAsiaTheme="minorEastAsia"/>
          <w:color w:val="auto"/>
          <w:highlight w:val="none"/>
        </w:rPr>
        <w:t>11、响应</w:t>
      </w:r>
      <w:r>
        <w:rPr>
          <w:rFonts w:hint="eastAsia" w:asciiTheme="minorEastAsia" w:hAnsiTheme="minorEastAsia" w:eastAsiaTheme="minorEastAsia"/>
          <w:snapToGrid w:val="0"/>
          <w:color w:val="auto"/>
          <w:kern w:val="0"/>
          <w:highlight w:val="none"/>
          <w:lang w:val="zh-CN"/>
        </w:rPr>
        <w:t>文件的编制</w:t>
      </w:r>
      <w:bookmarkEnd w:id="28"/>
      <w:bookmarkEnd w:id="29"/>
      <w:bookmarkEnd w:id="30"/>
      <w:bookmarkEnd w:id="31"/>
      <w:bookmarkEnd w:id="32"/>
      <w:bookmarkEnd w:id="33"/>
    </w:p>
    <w:p>
      <w:pPr>
        <w:ind w:firstLine="420"/>
        <w:rPr>
          <w:rFonts w:asciiTheme="minorEastAsia" w:hAnsiTheme="minorEastAsia" w:eastAsiaTheme="minorEastAsia"/>
          <w:snapToGrid w:val="0"/>
          <w:color w:val="auto"/>
          <w:kern w:val="0"/>
          <w:highlight w:val="none"/>
          <w:lang w:val="zh-CN"/>
        </w:rPr>
      </w:pPr>
      <w:bookmarkStart w:id="34" w:name="_Toc2682"/>
      <w:bookmarkStart w:id="35" w:name="_Toc20143"/>
      <w:bookmarkStart w:id="36" w:name="_Toc12660"/>
      <w:bookmarkStart w:id="37" w:name="_Toc7212"/>
      <w:bookmarkStart w:id="38" w:name="_Toc515822980"/>
      <w:bookmarkStart w:id="39" w:name="_Toc14769"/>
      <w:r>
        <w:rPr>
          <w:rFonts w:hint="eastAsia" w:asciiTheme="minorEastAsia" w:hAnsiTheme="minorEastAsia" w:eastAsiaTheme="minorEastAsia"/>
          <w:snapToGrid w:val="0"/>
          <w:color w:val="auto"/>
          <w:kern w:val="0"/>
          <w:highlight w:val="none"/>
          <w:lang w:val="zh-CN"/>
        </w:rPr>
        <w:t>11.1、语言和计量单位</w:t>
      </w:r>
      <w:bookmarkEnd w:id="34"/>
      <w:bookmarkEnd w:id="35"/>
      <w:bookmarkEnd w:id="36"/>
      <w:bookmarkEnd w:id="37"/>
      <w:bookmarkEnd w:id="38"/>
      <w:bookmarkEnd w:id="39"/>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11.1.1、供应商提交的响应文件以及供应商与采购人或采购代理机构就有关采购项目的所有来往函电均应使用中文。供应商提交的支持文件或印刷文献可以用另一种语言，但相应内容应附有中文翻译本，在解释响应文件时以中文翻译本为准。</w:t>
      </w:r>
    </w:p>
    <w:p>
      <w:pPr>
        <w:ind w:firstLine="420"/>
        <w:rPr>
          <w:rFonts w:asciiTheme="minorEastAsia" w:hAnsiTheme="minorEastAsia" w:eastAsiaTheme="minorEastAsia"/>
          <w:color w:val="auto"/>
          <w:highlight w:val="none"/>
          <w:lang w:val="zh-CN"/>
        </w:rPr>
      </w:pPr>
      <w:r>
        <w:rPr>
          <w:rFonts w:hint="eastAsia" w:asciiTheme="minorEastAsia" w:hAnsiTheme="minorEastAsia" w:eastAsiaTheme="minorEastAsia"/>
          <w:snapToGrid w:val="0"/>
          <w:color w:val="auto"/>
          <w:kern w:val="0"/>
          <w:highlight w:val="none"/>
          <w:lang w:val="zh-CN"/>
        </w:rPr>
        <w:t>11.1.2、除非采购文件中另有规定，计量单位均应采用中华人民共和国法定的计量单位。</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11.2、供应商应当按照采购文件的全部要求、包括所有的澄清、修改及附件编制响应文件，并对其提交的响应文件及全部资料的真实性、合法性承担法律责任，并接受采购代理机构对其中任何资料进一步核实的要求。</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11.3供应商应认真阅读采购文件中的所有内容，并对采购文件提出的要求和条件作出实质性响应。如因供应商只填写和提供了采购文件要求的部分内容和附件，而给评审造成困难，其可能导致的结果和责任由供应商自行承担。</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11.4、供应商应完整地按采购文件的要求提交所有资料，并按要求的格式填写规定的所有内容，无相应内容可填项的，应填写“无”、“未测试”、“没有相应指标”等明确的回答文字。如采购文件未规定格式的，相关格式由供应商自定。</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11.5、供应商在编制响应文件时应注意本次采购对多包采购的规定，多包采购的规定见《供应商须知前附表》。</w:t>
      </w:r>
    </w:p>
    <w:p>
      <w:pPr>
        <w:ind w:firstLine="420"/>
        <w:rPr>
          <w:rFonts w:asciiTheme="minorEastAsia" w:hAnsiTheme="minorEastAsia" w:eastAsiaTheme="minorEastAsia"/>
          <w:snapToGrid w:val="0"/>
          <w:color w:val="auto"/>
          <w:kern w:val="0"/>
          <w:highlight w:val="none"/>
          <w:lang w:val="zh-CN"/>
        </w:rPr>
      </w:pPr>
      <w:bookmarkStart w:id="40" w:name="_Toc14196"/>
      <w:bookmarkStart w:id="41" w:name="_Toc6883"/>
      <w:bookmarkStart w:id="42" w:name="_Toc515822983"/>
      <w:bookmarkStart w:id="43" w:name="_Toc8668"/>
      <w:bookmarkStart w:id="44" w:name="_Toc28185"/>
      <w:bookmarkStart w:id="45" w:name="_Toc25210"/>
      <w:r>
        <w:rPr>
          <w:rFonts w:hint="eastAsia" w:asciiTheme="minorEastAsia" w:hAnsiTheme="minorEastAsia" w:eastAsiaTheme="minorEastAsia"/>
          <w:snapToGrid w:val="0"/>
          <w:color w:val="auto"/>
          <w:kern w:val="0"/>
          <w:highlight w:val="none"/>
          <w:lang w:val="zh-CN"/>
        </w:rPr>
        <w:t>12、报价</w:t>
      </w:r>
      <w:bookmarkEnd w:id="40"/>
      <w:bookmarkEnd w:id="41"/>
      <w:bookmarkEnd w:id="42"/>
      <w:bookmarkEnd w:id="43"/>
      <w:bookmarkEnd w:id="44"/>
      <w:bookmarkEnd w:id="45"/>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12.1、报价包括供应商首次提交响应文件中的报价、谈判过程中的报价和最后报价。除采购文件另有规定外，供应商的报价均应以人民币作为货币单位。</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12.2、本采购项目预算金额详见第一章“竞争性谈判公告”。</w:t>
      </w:r>
      <w:r>
        <w:rPr>
          <w:rFonts w:hint="eastAsia" w:asciiTheme="minorEastAsia" w:hAnsiTheme="minorEastAsia" w:eastAsiaTheme="minorEastAsia"/>
          <w:b/>
          <w:snapToGrid w:val="0"/>
          <w:color w:val="auto"/>
          <w:kern w:val="0"/>
          <w:highlight w:val="none"/>
          <w:lang w:val="zh-CN"/>
        </w:rPr>
        <w:t>供应商的报价不得超过该</w:t>
      </w:r>
      <w:r>
        <w:rPr>
          <w:rFonts w:hint="eastAsia" w:asciiTheme="minorEastAsia" w:hAnsiTheme="minorEastAsia" w:eastAsiaTheme="minorEastAsia"/>
          <w:b/>
          <w:snapToGrid w:val="0"/>
          <w:color w:val="auto"/>
          <w:kern w:val="0"/>
          <w:highlight w:val="none"/>
          <w:lang w:val="en-US" w:eastAsia="zh-CN"/>
        </w:rPr>
        <w:t>采购控制价</w:t>
      </w:r>
      <w:r>
        <w:rPr>
          <w:rFonts w:hint="eastAsia" w:asciiTheme="minorEastAsia" w:hAnsiTheme="minorEastAsia" w:eastAsiaTheme="minorEastAsia"/>
          <w:b/>
          <w:snapToGrid w:val="0"/>
          <w:color w:val="auto"/>
          <w:kern w:val="0"/>
          <w:highlight w:val="none"/>
          <w:lang w:val="zh-CN"/>
        </w:rPr>
        <w:t>，否则按无效响应处理。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12.3、供应商应按照采购文件规定的采购需求及合同条款进行报价，并按采购文件规定的格式报出。报价中不得包含采购文件要求以外的内容，否则在评审时不予核减。报价中也不得缺漏采购文件所要求的内容，否则</w:t>
      </w:r>
      <w:r>
        <w:rPr>
          <w:rFonts w:hint="eastAsia" w:asciiTheme="minorEastAsia" w:hAnsiTheme="minorEastAsia" w:eastAsiaTheme="minorEastAsia"/>
          <w:snapToGrid w:val="0"/>
          <w:color w:val="auto"/>
          <w:kern w:val="0"/>
          <w:highlight w:val="none"/>
        </w:rPr>
        <w:t>漏项部分的价格需该供应商自行消化</w:t>
      </w:r>
      <w:r>
        <w:rPr>
          <w:rFonts w:hint="eastAsia" w:asciiTheme="minorEastAsia" w:hAnsiTheme="minorEastAsia" w:eastAsiaTheme="minorEastAsia"/>
          <w:snapToGrid w:val="0"/>
          <w:color w:val="auto"/>
          <w:kern w:val="0"/>
          <w:highlight w:val="none"/>
          <w:lang w:val="zh-CN"/>
        </w:rPr>
        <w:t>。</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12.4、对于采购文件中未列明、而供应商认为必需的费用也需列入总报价。在合同实施时，采购人将不予支付成交供应商响应文件没有列入的项目费用，并认为此项目的费用已包括在总报价中。</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12.5、供应商应根据采购文件的规定和要求、市场价格水平及其走势、供应商的管理水平、供应商的方案和由这些因素决定的供应商之于本项目的成本水平等提出自己的报价。报价应包含完成采购文件采购需求全部内容的所有费用，所有根据采购文件或其它原因应由供应商支付的税款和其他应交纳的费用都应包括在报价中，但供应商不得以低于其成本的价格进行报价。</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12.6、报价合理性：谈判小组认为供应商的报价明显低于其他通过符合性审查供应商的报价，有可能影响产品质量或者不能诚信履约的，应当要求其在评审现场合理的时间内提供书面说明，必要时提交相关证明材料；</w:t>
      </w:r>
      <w:r>
        <w:rPr>
          <w:rFonts w:hint="eastAsia" w:asciiTheme="minorEastAsia" w:hAnsiTheme="minorEastAsia" w:eastAsiaTheme="minorEastAsia"/>
          <w:b/>
          <w:snapToGrid w:val="0"/>
          <w:color w:val="auto"/>
          <w:kern w:val="0"/>
          <w:highlight w:val="none"/>
          <w:lang w:val="zh-CN"/>
        </w:rPr>
        <w:t>供应商不能证明其报价合理性的，谈判小组应当将其作为无效响应处理。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12.7、供应商在响应文件中注明免费的项目将被视为包含在报价中。</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12.8、成交供应商应负责本项目相关售后服务等全部工作，文件另有规定的除外。</w:t>
      </w:r>
    </w:p>
    <w:p>
      <w:pPr>
        <w:ind w:firstLine="422"/>
        <w:rPr>
          <w:rFonts w:asciiTheme="minorEastAsia" w:hAnsiTheme="minorEastAsia" w:eastAsiaTheme="minorEastAsia"/>
          <w:b/>
          <w:snapToGrid w:val="0"/>
          <w:color w:val="auto"/>
          <w:kern w:val="0"/>
          <w:highlight w:val="none"/>
          <w:lang w:val="zh-CN"/>
        </w:rPr>
      </w:pPr>
      <w:r>
        <w:rPr>
          <w:rFonts w:hint="eastAsia" w:asciiTheme="minorEastAsia" w:hAnsiTheme="minorEastAsia" w:eastAsiaTheme="minorEastAsia"/>
          <w:b/>
          <w:snapToGrid w:val="0"/>
          <w:color w:val="auto"/>
          <w:kern w:val="0"/>
          <w:highlight w:val="none"/>
          <w:lang w:val="zh-CN"/>
        </w:rPr>
        <w:t>12.9、每一种采购内容只允许有一个报价，否则其响应文件将被视为无效文件。</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12.10、成交供应商的报价在合同执行过程中是固定不变的，不得以任何理由予以变更。</w:t>
      </w:r>
    </w:p>
    <w:p>
      <w:pPr>
        <w:ind w:firstLine="420"/>
        <w:rPr>
          <w:rFonts w:asciiTheme="minorEastAsia" w:hAnsiTheme="minorEastAsia" w:eastAsiaTheme="minorEastAsia"/>
          <w:snapToGrid w:val="0"/>
          <w:color w:val="auto"/>
          <w:kern w:val="0"/>
          <w:highlight w:val="none"/>
          <w:lang w:val="zh-CN"/>
        </w:rPr>
      </w:pPr>
      <w:bookmarkStart w:id="46" w:name="_Toc24354"/>
      <w:bookmarkStart w:id="47" w:name="_Toc515822984"/>
      <w:bookmarkStart w:id="48" w:name="_Toc11648"/>
      <w:bookmarkStart w:id="49" w:name="_Toc3154"/>
      <w:bookmarkStart w:id="50" w:name="_Toc27926"/>
      <w:bookmarkStart w:id="51" w:name="_Toc31523"/>
      <w:r>
        <w:rPr>
          <w:rFonts w:hint="eastAsia" w:asciiTheme="minorEastAsia" w:hAnsiTheme="minorEastAsia" w:eastAsiaTheme="minorEastAsia"/>
          <w:snapToGrid w:val="0"/>
          <w:color w:val="auto"/>
          <w:kern w:val="0"/>
          <w:highlight w:val="none"/>
          <w:lang w:val="zh-CN"/>
        </w:rPr>
        <w:t>13、备选方案</w:t>
      </w:r>
      <w:bookmarkEnd w:id="46"/>
      <w:bookmarkEnd w:id="47"/>
      <w:bookmarkEnd w:id="48"/>
      <w:bookmarkEnd w:id="49"/>
      <w:bookmarkEnd w:id="50"/>
      <w:bookmarkEnd w:id="51"/>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13.1、是否允许备选方案见《供应商须知前附表》。</w:t>
      </w:r>
      <w:r>
        <w:rPr>
          <w:rFonts w:hint="eastAsia" w:asciiTheme="minorEastAsia" w:hAnsiTheme="minorEastAsia" w:eastAsiaTheme="minorEastAsia"/>
          <w:b/>
          <w:snapToGrid w:val="0"/>
          <w:color w:val="auto"/>
          <w:kern w:val="0"/>
          <w:highlight w:val="none"/>
          <w:lang w:val="zh-CN"/>
        </w:rPr>
        <w:t>不允许有备选方案的，若在响应文件中提交了备选方案，其响应文件将被视为无效响应。</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14、联合体的资格条件</w:t>
      </w:r>
    </w:p>
    <w:p>
      <w:pPr>
        <w:ind w:firstLine="420"/>
        <w:rPr>
          <w:rFonts w:asciiTheme="minorEastAsia" w:hAnsiTheme="minorEastAsia" w:eastAsiaTheme="minorEastAsia"/>
          <w:color w:val="auto"/>
          <w:highlight w:val="none"/>
          <w:lang w:val="zh-CN"/>
        </w:rPr>
      </w:pPr>
      <w:r>
        <w:rPr>
          <w:rFonts w:hint="eastAsia" w:asciiTheme="minorEastAsia" w:hAnsiTheme="minorEastAsia" w:eastAsiaTheme="minorEastAsia"/>
          <w:snapToGrid w:val="0"/>
          <w:color w:val="auto"/>
          <w:kern w:val="0"/>
          <w:highlight w:val="none"/>
          <w:lang w:val="zh-CN"/>
        </w:rPr>
        <w:t>本项目不接受联合体响应。</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15、成交后的分包与转包</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本项目不允许分包与转包</w:t>
      </w:r>
    </w:p>
    <w:p>
      <w:pPr>
        <w:ind w:firstLine="420"/>
        <w:rPr>
          <w:rFonts w:asciiTheme="minorEastAsia" w:hAnsiTheme="minorEastAsia" w:eastAsiaTheme="minorEastAsia"/>
          <w:snapToGrid w:val="0"/>
          <w:color w:val="auto"/>
          <w:kern w:val="0"/>
          <w:highlight w:val="none"/>
          <w:lang w:val="zh-CN"/>
        </w:rPr>
      </w:pPr>
      <w:bookmarkStart w:id="52" w:name="_Toc7731"/>
      <w:bookmarkStart w:id="53" w:name="_Toc25512"/>
      <w:bookmarkStart w:id="54" w:name="_Toc13898"/>
      <w:bookmarkStart w:id="55" w:name="_Toc23135"/>
      <w:bookmarkStart w:id="56" w:name="_Toc515822986"/>
      <w:bookmarkStart w:id="57" w:name="_Toc25247"/>
      <w:r>
        <w:rPr>
          <w:rFonts w:hint="eastAsia" w:asciiTheme="minorEastAsia" w:hAnsiTheme="minorEastAsia" w:eastAsiaTheme="minorEastAsia"/>
          <w:color w:val="auto"/>
          <w:highlight w:val="none"/>
        </w:rPr>
        <w:t>15.3、供应商资格证明文件</w:t>
      </w:r>
      <w:bookmarkEnd w:id="52"/>
      <w:bookmarkEnd w:id="53"/>
      <w:bookmarkEnd w:id="54"/>
      <w:bookmarkEnd w:id="55"/>
      <w:bookmarkEnd w:id="56"/>
      <w:bookmarkEnd w:id="57"/>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15.4、供应商应在响应文件中提交证明其有资格参加谈判的证明文件，证明文件详见第四章“</w:t>
      </w:r>
      <w:r>
        <w:rPr>
          <w:rFonts w:asciiTheme="minorEastAsia" w:hAnsiTheme="minorEastAsia" w:eastAsiaTheme="minorEastAsia"/>
          <w:snapToGrid w:val="0"/>
          <w:color w:val="auto"/>
          <w:kern w:val="0"/>
          <w:highlight w:val="none"/>
          <w:lang w:val="zh-CN"/>
        </w:rPr>
        <w:t>评审办法</w:t>
      </w:r>
      <w:r>
        <w:rPr>
          <w:rFonts w:hint="eastAsia" w:asciiTheme="minorEastAsia" w:hAnsiTheme="minorEastAsia" w:eastAsiaTheme="minorEastAsia"/>
          <w:snapToGrid w:val="0"/>
          <w:color w:val="auto"/>
          <w:kern w:val="0"/>
          <w:highlight w:val="none"/>
          <w:lang w:val="zh-CN"/>
        </w:rPr>
        <w:t>”中的资格证明文件组成。</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15.5、证明材料仅限于供应商单位本身，参股或控股单位及独立法人子公司的材料不能作为证明材料，但供应商兼并的企业的材料可作为证明材料。</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15.6、所有证明材料须清晰可辨认，如因证明材料模糊无法辨认，缺页、漏页导致无法进行评审认定的责任由供应商自负。如发现弄虚作假将按照有关规定严肃处理。</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15.7、所有证明材料必须加盖单位公章。</w:t>
      </w:r>
    </w:p>
    <w:p>
      <w:pPr>
        <w:ind w:firstLine="420"/>
        <w:rPr>
          <w:rFonts w:asciiTheme="minorEastAsia" w:hAnsiTheme="minorEastAsia" w:eastAsiaTheme="minorEastAsia"/>
          <w:color w:val="auto"/>
          <w:highlight w:val="none"/>
        </w:rPr>
      </w:pPr>
      <w:bookmarkStart w:id="58" w:name="_Toc28919"/>
      <w:bookmarkStart w:id="59" w:name="_Toc515822988"/>
      <w:bookmarkStart w:id="60" w:name="_Toc6945"/>
      <w:bookmarkStart w:id="61" w:name="_Toc2487"/>
      <w:bookmarkStart w:id="62" w:name="_Toc22466"/>
      <w:bookmarkStart w:id="63" w:name="_Toc4852"/>
      <w:r>
        <w:rPr>
          <w:rFonts w:hint="eastAsia" w:asciiTheme="minorEastAsia" w:hAnsiTheme="minorEastAsia" w:eastAsiaTheme="minorEastAsia"/>
          <w:color w:val="auto"/>
          <w:highlight w:val="none"/>
        </w:rPr>
        <w:t>16、谈判</w:t>
      </w:r>
      <w:r>
        <w:rPr>
          <w:rFonts w:hint="eastAsia" w:asciiTheme="minorEastAsia" w:hAnsiTheme="minorEastAsia" w:eastAsiaTheme="minorEastAsia"/>
          <w:snapToGrid w:val="0"/>
          <w:color w:val="auto"/>
          <w:kern w:val="0"/>
          <w:highlight w:val="none"/>
          <w:lang w:val="zh-CN"/>
        </w:rPr>
        <w:t>保证金</w:t>
      </w:r>
      <w:bookmarkEnd w:id="58"/>
      <w:bookmarkEnd w:id="59"/>
      <w:bookmarkEnd w:id="60"/>
      <w:bookmarkEnd w:id="61"/>
      <w:bookmarkEnd w:id="62"/>
      <w:bookmarkEnd w:id="63"/>
      <w:r>
        <w:rPr>
          <w:rFonts w:hint="eastAsia" w:asciiTheme="minorEastAsia" w:hAnsiTheme="minorEastAsia" w:eastAsiaTheme="minorEastAsia"/>
          <w:snapToGrid w:val="0"/>
          <w:color w:val="auto"/>
          <w:kern w:val="0"/>
          <w:highlight w:val="none"/>
          <w:lang w:val="zh-CN"/>
        </w:rPr>
        <w:t>：</w:t>
      </w:r>
      <w:r>
        <w:rPr>
          <w:rFonts w:hint="eastAsia" w:asciiTheme="minorEastAsia" w:hAnsiTheme="minorEastAsia" w:eastAsiaTheme="minorEastAsia"/>
          <w:color w:val="auto"/>
          <w:highlight w:val="none"/>
          <w:lang w:val="zh-CN"/>
        </w:rPr>
        <w:t>不需要</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17、响应文件有效期</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17.1、响应文件有效期从提交响应文件的截止之日起算，本次采购响应文件有效期见《供应商须知前附表》。谈判结束后，在有效期内供应商不得改变谈判报价、服务期及承诺的全部义务。</w:t>
      </w:r>
      <w:r>
        <w:rPr>
          <w:rFonts w:hint="eastAsia" w:asciiTheme="minorEastAsia" w:hAnsiTheme="minorEastAsia" w:eastAsiaTheme="minorEastAsia"/>
          <w:b/>
          <w:snapToGrid w:val="0"/>
          <w:color w:val="auto"/>
          <w:kern w:val="0"/>
          <w:highlight w:val="none"/>
          <w:lang w:val="zh-CN"/>
        </w:rPr>
        <w:t>供应商承诺的响应文件有效期不足的，其响应文件将被视为无效文件。</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17.2、特殊情况下，在原响应文件有效期截止之前，采购代理机构或采购人可要求供应商延长响应文件有效期。需要延长响应文件有效期时，采购代理机构或采购人将以书面形式通知所有供应商，供应商应以书面形式答复是否同意延长响应文件有效期。供应商同意延长的，不得要求或被允许修改或撤销其响应文件；供应商拒绝延长的，其响应文件在原响应文件有效期满后将不再有效。</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snapToGrid w:val="0"/>
          <w:color w:val="auto"/>
          <w:kern w:val="0"/>
          <w:highlight w:val="none"/>
          <w:lang w:val="zh-CN"/>
        </w:rPr>
        <w:t>17.3、供应商同意延长响应文件有效期的，不得要求或被允许修改或撤销其响应文件；供应商拒绝延长的，其响应文件失效。</w:t>
      </w:r>
    </w:p>
    <w:p>
      <w:pPr>
        <w:ind w:firstLine="420"/>
        <w:rPr>
          <w:rFonts w:asciiTheme="minorEastAsia" w:hAnsiTheme="minorEastAsia" w:eastAsiaTheme="minorEastAsia"/>
          <w:color w:val="auto"/>
          <w:highlight w:val="none"/>
        </w:rPr>
      </w:pPr>
      <w:bookmarkStart w:id="64" w:name="_Toc9791"/>
      <w:bookmarkStart w:id="65" w:name="_Toc5423"/>
      <w:bookmarkStart w:id="66" w:name="_Toc515822990"/>
      <w:bookmarkStart w:id="67" w:name="_Toc24365"/>
      <w:bookmarkStart w:id="68" w:name="_Toc6125"/>
      <w:bookmarkStart w:id="69" w:name="_Toc2128"/>
      <w:r>
        <w:rPr>
          <w:rFonts w:hint="eastAsia" w:asciiTheme="minorEastAsia" w:hAnsiTheme="minorEastAsia" w:eastAsiaTheme="minorEastAsia"/>
          <w:color w:val="auto"/>
          <w:highlight w:val="none"/>
        </w:rPr>
        <w:t>18、响应文件的装订、签署和数量</w:t>
      </w:r>
      <w:bookmarkEnd w:id="64"/>
      <w:bookmarkEnd w:id="65"/>
      <w:bookmarkEnd w:id="66"/>
      <w:bookmarkEnd w:id="67"/>
      <w:bookmarkEnd w:id="68"/>
      <w:bookmarkEnd w:id="69"/>
    </w:p>
    <w:p>
      <w:pPr>
        <w:ind w:firstLine="422"/>
        <w:rPr>
          <w:rFonts w:asciiTheme="minorEastAsia" w:hAnsiTheme="minorEastAsia" w:eastAsiaTheme="minorEastAsia"/>
          <w:b/>
          <w:color w:val="auto"/>
          <w:szCs w:val="24"/>
          <w:highlight w:val="none"/>
        </w:rPr>
      </w:pPr>
      <w:r>
        <w:rPr>
          <w:rFonts w:asciiTheme="minorEastAsia" w:hAnsiTheme="minorEastAsia" w:eastAsiaTheme="minorEastAsia"/>
          <w:b/>
          <w:color w:val="auto"/>
          <w:szCs w:val="24"/>
          <w:highlight w:val="none"/>
        </w:rPr>
        <w:t>18.1、供应商提交的响应文件应包括</w:t>
      </w:r>
      <w:r>
        <w:rPr>
          <w:rFonts w:cs="宋体" w:asciiTheme="minorEastAsia" w:hAnsiTheme="minorEastAsia" w:eastAsiaTheme="minorEastAsia"/>
          <w:b/>
          <w:bCs/>
          <w:color w:val="auto"/>
          <w:highlight w:val="none"/>
        </w:rPr>
        <w:t>正本</w:t>
      </w:r>
      <w:r>
        <w:rPr>
          <w:rFonts w:cs="宋体" w:asciiTheme="minorEastAsia" w:hAnsiTheme="minorEastAsia" w:eastAsiaTheme="minorEastAsia"/>
          <w:b/>
          <w:bCs/>
          <w:color w:val="auto"/>
          <w:highlight w:val="none"/>
          <w:u w:val="single"/>
        </w:rPr>
        <w:t>壹本</w:t>
      </w:r>
      <w:r>
        <w:rPr>
          <w:rFonts w:cs="宋体" w:asciiTheme="minorEastAsia" w:hAnsiTheme="minorEastAsia" w:eastAsiaTheme="minorEastAsia"/>
          <w:b/>
          <w:bCs/>
          <w:color w:val="auto"/>
          <w:highlight w:val="none"/>
        </w:rPr>
        <w:t>、副本</w:t>
      </w:r>
      <w:r>
        <w:rPr>
          <w:rFonts w:cs="宋体" w:asciiTheme="minorEastAsia" w:hAnsiTheme="minorEastAsia" w:eastAsiaTheme="minorEastAsia"/>
          <w:b/>
          <w:bCs/>
          <w:color w:val="auto"/>
          <w:highlight w:val="none"/>
          <w:u w:val="single"/>
        </w:rPr>
        <w:t>贰本</w:t>
      </w:r>
      <w:r>
        <w:rPr>
          <w:rFonts w:asciiTheme="minorEastAsia" w:hAnsiTheme="minorEastAsia" w:eastAsiaTheme="minorEastAsia"/>
          <w:b/>
          <w:color w:val="auto"/>
          <w:szCs w:val="24"/>
          <w:highlight w:val="none"/>
        </w:rPr>
        <w:t>及单独提供的法定代表人授权委托书（或法定代表人身份证明书）、报价一览表（首次报价）、优惠声明（如有）。供应商提交响应文件正、副本数量见《供应商须知前附表》。</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18.2、每套响应文件须清楚地标明“正本”、“副本”，响应文件的副本可采用正本的复印件，若副本与正本不符，以正本为准；如单独提供的法定代表人授权委托书（或法定代表人身份证明书）、报价一览表与响应文件正本不符，以正本为准。</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18.3、正本需打印或用不褪色墨水书写，并由法定代表人或授权代表（签字）并加盖公章。由授权代表（签字）的，响应文件中应提交《法定代表人授权书》。供应商为自然人的，由供应商本人签字并附身份证明。</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18.4、响应文件中的任何行间插字、涂改和增删，必须由法定代表人或授权代表在旁边签字才有效。</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18.5、响应文件应当采用不可拆卸的方法的装订，对未经装订的响应文件可能发生的文件散落或缺损及由此产生的后果由供应商承担。</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18.6、采购文件要求提交样品的，样品应与响应文件同时递交。供应商应在样品上标明项目编号、项目名称及供应商名称。是否提交样品详见《供应商须知前附表》。</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color w:val="auto"/>
          <w:szCs w:val="24"/>
          <w:highlight w:val="none"/>
        </w:rPr>
        <w:t>18.7、采购活动结束后，对于未成交供应商提供的样品，采购代理机构将及时退还未成交供应商，或者经未成交供应商同意后自行处理；对于成交供应商提供的样品，将按照采购文件的规定进行保管、封存，并作为履约验收的参考。</w:t>
      </w: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四、竞争性谈判响应文件的递交</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19、响应文件的密封和标识</w:t>
      </w:r>
    </w:p>
    <w:p>
      <w:pPr>
        <w:ind w:firstLine="42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19、响应文件的封装及递交</w:t>
      </w:r>
    </w:p>
    <w:p>
      <w:pPr>
        <w:ind w:firstLine="42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19.1、供应商法定代表人凭法定代表人身份证明（原件）或授权代表凭法定代表人授权书（原件）、本人身份证明（原件）参加谈判。本项材料无需封装，现场手持即可。</w:t>
      </w:r>
    </w:p>
    <w:p>
      <w:pPr>
        <w:ind w:firstLine="42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19.2、纸质响应文件的</w:t>
      </w:r>
      <w:r>
        <w:rPr>
          <w:rFonts w:cs="宋体" w:asciiTheme="minorEastAsia" w:hAnsiTheme="minorEastAsia" w:eastAsiaTheme="minorEastAsia"/>
          <w:bCs/>
          <w:color w:val="auto"/>
          <w:highlight w:val="none"/>
        </w:rPr>
        <w:t>正本</w:t>
      </w:r>
      <w:r>
        <w:rPr>
          <w:rFonts w:cs="宋体" w:asciiTheme="minorEastAsia" w:hAnsiTheme="minorEastAsia" w:eastAsiaTheme="minorEastAsia"/>
          <w:b/>
          <w:bCs/>
          <w:color w:val="auto"/>
          <w:highlight w:val="none"/>
          <w:u w:val="single"/>
        </w:rPr>
        <w:t>壹本</w:t>
      </w:r>
      <w:r>
        <w:rPr>
          <w:rFonts w:cs="宋体" w:asciiTheme="minorEastAsia" w:hAnsiTheme="minorEastAsia" w:eastAsiaTheme="minorEastAsia"/>
          <w:bCs/>
          <w:color w:val="auto"/>
          <w:highlight w:val="none"/>
        </w:rPr>
        <w:t>、副本</w:t>
      </w:r>
      <w:r>
        <w:rPr>
          <w:rFonts w:cs="宋体" w:asciiTheme="minorEastAsia" w:hAnsiTheme="minorEastAsia" w:eastAsiaTheme="minorEastAsia"/>
          <w:b/>
          <w:bCs/>
          <w:color w:val="auto"/>
          <w:highlight w:val="none"/>
          <w:u w:val="single"/>
        </w:rPr>
        <w:t>贰本</w:t>
      </w:r>
      <w:r>
        <w:rPr>
          <w:rFonts w:asciiTheme="minorEastAsia" w:hAnsiTheme="minorEastAsia" w:eastAsiaTheme="minorEastAsia"/>
          <w:color w:val="auto"/>
          <w:highlight w:val="none"/>
        </w:rPr>
        <w:t>必须密封（正副本可分别密封也可一起密封）和加盖供应商公章后递交，包装上应注明项目编号、项目名称、供应商名称及“响应文件”字样。</w:t>
      </w:r>
    </w:p>
    <w:p>
      <w:pPr>
        <w:ind w:firstLine="420"/>
        <w:jc w:val="both"/>
        <w:rPr>
          <w:rFonts w:hint="eastAsia" w:asciiTheme="minorEastAsia" w:hAnsiTheme="minorEastAsia" w:eastAsiaTheme="minorEastAsia"/>
          <w:color w:val="auto"/>
          <w:highlight w:val="none"/>
          <w:lang w:eastAsia="zh-CN"/>
        </w:rPr>
      </w:pPr>
      <w:r>
        <w:rPr>
          <w:rFonts w:asciiTheme="minorEastAsia" w:hAnsiTheme="minorEastAsia" w:eastAsiaTheme="minorEastAsia"/>
          <w:color w:val="auto"/>
          <w:highlight w:val="none"/>
        </w:rPr>
        <w:t>19.3、电子正本响应文件（U盘备份）必须单独密封和加盖供应商公章后递交，包装上应注明项目编号、项目名称、供应商名称及“电子响应文件（U盘）”字样。</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无需准备</w:t>
      </w:r>
      <w:r>
        <w:rPr>
          <w:rFonts w:hint="eastAsia" w:asciiTheme="minorEastAsia" w:hAnsiTheme="minorEastAsia" w:eastAsiaTheme="minorEastAsia"/>
          <w:color w:val="auto"/>
          <w:highlight w:val="none"/>
          <w:lang w:eastAsia="zh-CN"/>
        </w:rPr>
        <w:t>）</w:t>
      </w:r>
    </w:p>
    <w:p>
      <w:pPr>
        <w:ind w:firstLine="42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19.4、供应商还应将1份《报价一览表（首次报价表）》（原件）与报价优惠声明（原件，如果有的话）单独密封提交，包装上应注明项目编号、项目名称、供应商名称及“报价一览表”字样。最终报价表谈判现场手持即可。</w:t>
      </w:r>
    </w:p>
    <w:p>
      <w:pPr>
        <w:ind w:firstLine="42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19.5、未按要求密封和加写标记的响应文件将被视为无效文件，采购人、采购代理机构将拒收。</w:t>
      </w:r>
    </w:p>
    <w:p>
      <w:pPr>
        <w:ind w:firstLine="420"/>
        <w:jc w:val="both"/>
        <w:rPr>
          <w:rFonts w:asciiTheme="minorEastAsia" w:hAnsiTheme="minorEastAsia" w:eastAsiaTheme="minorEastAsia"/>
          <w:color w:val="auto"/>
          <w:szCs w:val="24"/>
          <w:highlight w:val="none"/>
        </w:rPr>
      </w:pPr>
      <w:r>
        <w:rPr>
          <w:rFonts w:asciiTheme="minorEastAsia" w:hAnsiTheme="minorEastAsia" w:eastAsiaTheme="minorEastAsia"/>
          <w:color w:val="auto"/>
          <w:highlight w:val="none"/>
        </w:rPr>
        <w:t>19.6、响应文件的送达地点及截止时间详见采购公告，截止时间是竞争性采购文件中规定的首次送达、提交响应文件的最后时间。</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snapToGrid w:val="0"/>
          <w:color w:val="auto"/>
          <w:kern w:val="0"/>
          <w:highlight w:val="none"/>
          <w:lang w:val="zh-CN"/>
        </w:rPr>
        <w:t>20、迟交的响应文件。在递交响应文件截止时间以后送达的响应文件，不论何种原因，采购代理机构将拒收。</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snapToGrid w:val="0"/>
          <w:color w:val="auto"/>
          <w:kern w:val="0"/>
          <w:highlight w:val="none"/>
          <w:lang w:val="zh-CN"/>
        </w:rPr>
        <w:t>21、响应文件的补充、修改或者撤回</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snapToGrid w:val="0"/>
          <w:color w:val="auto"/>
          <w:kern w:val="0"/>
          <w:highlight w:val="none"/>
          <w:lang w:val="zh-CN"/>
        </w:rPr>
        <w:t>21.1、在提交响应文件截止时间前，供应商可以对已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snapToGrid w:val="0"/>
          <w:color w:val="auto"/>
          <w:kern w:val="0"/>
          <w:highlight w:val="none"/>
          <w:lang w:val="zh-CN"/>
        </w:rPr>
        <w:t>21.2、从提交响应文件截止时间至响应文件有效期期满这段时间，供应商不得修改或撤销其响应文件。</w:t>
      </w:r>
    </w:p>
    <w:p>
      <w:pPr>
        <w:ind w:firstLine="420"/>
        <w:rPr>
          <w:rFonts w:asciiTheme="minorEastAsia" w:hAnsiTheme="minorEastAsia" w:eastAsiaTheme="minorEastAsia"/>
          <w:snapToGrid w:val="0"/>
          <w:color w:val="auto"/>
          <w:kern w:val="0"/>
          <w:highlight w:val="none"/>
          <w:lang w:val="zh-CN"/>
        </w:rPr>
      </w:pPr>
      <w:r>
        <w:rPr>
          <w:rFonts w:asciiTheme="minorEastAsia" w:hAnsiTheme="minorEastAsia" w:eastAsiaTheme="minorEastAsia"/>
          <w:snapToGrid w:val="0"/>
          <w:color w:val="auto"/>
          <w:kern w:val="0"/>
          <w:highlight w:val="none"/>
          <w:lang w:val="zh-CN"/>
        </w:rPr>
        <w:t>21.3、供应商所提交的响应文件在谈判结束后，无论成交与否都不退还。</w:t>
      </w: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五、谈判小组</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22、谈判</w:t>
      </w:r>
      <w:r>
        <w:rPr>
          <w:rFonts w:hint="eastAsia" w:asciiTheme="minorEastAsia" w:hAnsiTheme="minorEastAsia" w:eastAsiaTheme="minorEastAsia"/>
          <w:snapToGrid w:val="0"/>
          <w:color w:val="auto"/>
          <w:kern w:val="0"/>
          <w:highlight w:val="none"/>
          <w:lang w:val="zh-CN"/>
        </w:rPr>
        <w:t>小组</w:t>
      </w:r>
      <w:r>
        <w:rPr>
          <w:rFonts w:hint="eastAsia" w:asciiTheme="minorEastAsia" w:hAnsiTheme="minorEastAsia" w:eastAsiaTheme="minorEastAsia"/>
          <w:color w:val="auto"/>
          <w:highlight w:val="none"/>
        </w:rPr>
        <w:t>的组成</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22.1、采购人参照现行法律规定组建谈判小组。</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22.2、谈判小组由3人组成，评审专家</w:t>
      </w:r>
      <w:r>
        <w:rPr>
          <w:rFonts w:hint="eastAsia" w:asciiTheme="minorEastAsia" w:hAnsiTheme="minorEastAsia" w:eastAsiaTheme="minorEastAsia"/>
          <w:bCs/>
          <w:color w:val="auto"/>
          <w:highlight w:val="none"/>
          <w:lang w:val="en-US" w:eastAsia="zh-CN"/>
        </w:rPr>
        <w:t>由采购人依规组建</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22.3、达到公开招标数额标准的货物或者服务采购项目，或者达到招标规模标准的政府采购工程，谈判小组应当由</w:t>
      </w: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人组成。</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23、谈判小组应当履行下列义务</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23.1、遵纪守法，客观、公正、廉洁地履行职责；</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23.2、根据采购文件的规定独立进行评审，对个人的评审意见承担法律责任；</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23.3、参与评审报告的起草；</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23.4、配合采购人、采购代理机构答复供应商提出的质疑；</w:t>
      </w:r>
    </w:p>
    <w:p>
      <w:pPr>
        <w:ind w:firstLine="420"/>
        <w:rPr>
          <w:rFonts w:asciiTheme="minorEastAsia" w:hAnsiTheme="minorEastAsia" w:eastAsiaTheme="minorEastAsia"/>
          <w:snapToGrid w:val="0"/>
          <w:color w:val="auto"/>
          <w:kern w:val="0"/>
          <w:highlight w:val="none"/>
          <w:lang w:val="zh-CN"/>
        </w:rPr>
      </w:pPr>
      <w:r>
        <w:rPr>
          <w:rFonts w:hint="eastAsia" w:asciiTheme="minorEastAsia" w:hAnsiTheme="minorEastAsia" w:eastAsiaTheme="minorEastAsia"/>
          <w:bCs/>
          <w:color w:val="auto"/>
          <w:highlight w:val="none"/>
        </w:rPr>
        <w:t>23.5、配合财政部门的投诉处理和监督检查工作。</w:t>
      </w:r>
    </w:p>
    <w:p>
      <w:pPr>
        <w:ind w:firstLine="422"/>
        <w:rPr>
          <w:rFonts w:asciiTheme="minorEastAsia" w:hAnsiTheme="minorEastAsia" w:eastAsiaTheme="minorEastAsia"/>
          <w:b/>
          <w:color w:val="auto"/>
          <w:highlight w:val="none"/>
        </w:rPr>
      </w:pPr>
      <w:bookmarkStart w:id="70" w:name="_Toc4788"/>
      <w:bookmarkStart w:id="71" w:name="_Toc5648"/>
      <w:bookmarkStart w:id="72" w:name="_Toc515822998"/>
      <w:bookmarkStart w:id="73" w:name="_Toc17375"/>
      <w:bookmarkStart w:id="74" w:name="_Toc6821"/>
      <w:bookmarkStart w:id="75" w:name="_Toc31882"/>
      <w:r>
        <w:rPr>
          <w:rFonts w:hint="eastAsia" w:asciiTheme="minorEastAsia" w:hAnsiTheme="minorEastAsia" w:eastAsiaTheme="minorEastAsia"/>
          <w:b/>
          <w:color w:val="auto"/>
          <w:highlight w:val="none"/>
        </w:rPr>
        <w:t>六、谈判程序及步骤</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24、谈判</w:t>
      </w:r>
      <w:r>
        <w:rPr>
          <w:rFonts w:hint="eastAsia" w:asciiTheme="minorEastAsia" w:hAnsiTheme="minorEastAsia" w:eastAsiaTheme="minorEastAsia"/>
          <w:snapToGrid w:val="0"/>
          <w:color w:val="auto"/>
          <w:kern w:val="0"/>
          <w:highlight w:val="none"/>
          <w:lang w:val="zh-CN"/>
        </w:rPr>
        <w:t>代表</w:t>
      </w:r>
      <w:bookmarkEnd w:id="70"/>
      <w:bookmarkEnd w:id="71"/>
      <w:bookmarkEnd w:id="72"/>
      <w:bookmarkEnd w:id="73"/>
      <w:bookmarkEnd w:id="74"/>
      <w:bookmarkEnd w:id="75"/>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24.1、供应商法定代表人或授权代表及项目相关的商务技术人员应携带本人身份证明参加谈判。授权代表参加谈判的，还应携带法定代表人授权书原件。谈判代表经采购人及采购代理机构核对身份后，方可参加谈判。</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25、资格性和符合性审查</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25.1、在正式谈判前，谈判小组按采购文件第四章“评审办法”规定的程序、方法和标准，对供应商进行资格性审查和符合性审查，通过资格性审查和符合性审查的供应商方可进入谈判程序。资格性审查和符合性审查内容详见第四章“评审办法”。</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25.2、供应商信用信息及查询</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25.2.1、</w:t>
      </w:r>
      <w:r>
        <w:rPr>
          <w:rFonts w:hint="eastAsia" w:asciiTheme="minorEastAsia" w:hAnsiTheme="minorEastAsia" w:eastAsiaTheme="minorEastAsia"/>
          <w:color w:val="auto"/>
          <w:highlight w:val="none"/>
          <w:lang w:val="zh-CN"/>
        </w:rPr>
        <w:t>按照《关于在政府采购活动中查询及使用信用记录有关问题的通知》的要求</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zh-CN"/>
        </w:rPr>
        <w:t>参与政府采购的供应商</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zh-CN"/>
        </w:rPr>
        <w:t>信用记录的查询渠道为</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zh-CN"/>
        </w:rPr>
        <w:t>信用中国</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zh-CN"/>
        </w:rPr>
        <w:t>网站</w:t>
      </w:r>
      <w:r>
        <w:rPr>
          <w:rFonts w:hint="eastAsia" w:asciiTheme="minorEastAsia" w:hAnsiTheme="minorEastAsia" w:eastAsiaTheme="minorEastAsia"/>
          <w:color w:val="auto"/>
          <w:highlight w:val="none"/>
        </w:rPr>
        <w:t>(www.creditchina.gov.cn)</w:t>
      </w:r>
      <w:r>
        <w:rPr>
          <w:rFonts w:hint="eastAsia" w:asciiTheme="minorEastAsia" w:hAnsiTheme="minorEastAsia" w:eastAsiaTheme="minorEastAsia"/>
          <w:color w:val="auto"/>
          <w:highlight w:val="none"/>
          <w:lang w:val="zh-CN"/>
        </w:rPr>
        <w:t>。</w:t>
      </w:r>
    </w:p>
    <w:p>
      <w:pPr>
        <w:ind w:firstLine="42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25.2.2、</w:t>
      </w:r>
      <w:r>
        <w:rPr>
          <w:rFonts w:hint="eastAsia" w:asciiTheme="minorEastAsia" w:hAnsiTheme="minorEastAsia" w:eastAsiaTheme="minorEastAsia"/>
          <w:color w:val="auto"/>
          <w:highlight w:val="none"/>
          <w:lang w:val="zh-CN"/>
        </w:rPr>
        <w:t>列入失信被执行人、重大税收违法案件当事人名单、政府采购严重违法失信行为记录名单的供应商，将被拒绝其参与政府采购活动。</w:t>
      </w:r>
    </w:p>
    <w:p>
      <w:pPr>
        <w:ind w:firstLine="42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25.2.3、</w:t>
      </w:r>
      <w:r>
        <w:rPr>
          <w:rFonts w:hint="eastAsia" w:asciiTheme="minorEastAsia" w:hAnsiTheme="minorEastAsia" w:eastAsiaTheme="minorEastAsia"/>
          <w:color w:val="auto"/>
          <w:highlight w:val="none"/>
          <w:lang w:val="zh-CN"/>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25.2.4、</w:t>
      </w:r>
      <w:r>
        <w:rPr>
          <w:rFonts w:hint="eastAsia" w:asciiTheme="minorEastAsia" w:hAnsiTheme="minorEastAsia" w:eastAsiaTheme="minorEastAsia"/>
          <w:b/>
          <w:color w:val="auto"/>
          <w:highlight w:val="none"/>
          <w:lang w:val="zh-CN"/>
        </w:rPr>
        <w:t>在资格审查与评审工作未同日进行的特殊情形下，谈判小组在评审时对供应商的信用信息进行复核，发现评审当日存在不良信用信息的，由谈判小组按照符合性审查不合格作无效响应处理。</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6、第一轮谈判</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、谈判小组将按照《供应商须知前附表》规定的办法确定供应商的谈判顺序，集中与单一供应商分别进行谈判，并给予所有参加谈判的供应商平等的谈判机会。</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、谈判小组对照采购文件与供应商的响应文件分别就采购需求、质量和服务等进行谈判，并了解其报价组成情况。谈判中，谈判的任何一方不得透露与谈判有关的其他供应商的技术资料、价格和其他信息。</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、响应文件的澄清和说明</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26.3.1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26.3.2、谈判小组要求供应商澄清、说明或者更正响应文件应以书面形式作出。供应商的澄清、说明或者更正应当由法定代表人或其授权代表签字或者加盖印章。</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26.3.3、供应商可以对参加谈判项目的采购需求提出优化建议，并以书面提交谈判小组。</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26.4</w:t>
      </w:r>
      <w:r>
        <w:rPr>
          <w:rFonts w:hint="eastAsia" w:asciiTheme="minorEastAsia" w:hAnsiTheme="minorEastAsia" w:eastAsiaTheme="minorEastAsia"/>
          <w:color w:val="auto"/>
          <w:highlight w:val="none"/>
        </w:rPr>
        <w:t>、谈判小组按采购文件设定的方法和标准确定供应商符合采购文件要求的，该供应商即为合格的供应商。</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26.5</w:t>
      </w:r>
      <w:r>
        <w:rPr>
          <w:rFonts w:hint="eastAsia" w:asciiTheme="minorEastAsia" w:hAnsiTheme="minorEastAsia" w:eastAsiaTheme="minorEastAsia"/>
          <w:color w:val="auto"/>
          <w:highlight w:val="none"/>
        </w:rPr>
        <w:t>、第一轮谈判后，合格的供应商超过三家的，谈判小组可根据采购项目的特点、采购人的实际需求及与各供应商的谈判情况对采购文件作出实质性变动，并进行下一轮谈判，或直接进入最后报价。变动后的采购文件至少有</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家供应商满足。</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26.6</w:t>
      </w:r>
      <w:r>
        <w:rPr>
          <w:rFonts w:hint="eastAsia" w:asciiTheme="minorEastAsia" w:hAnsiTheme="minorEastAsia" w:eastAsiaTheme="minorEastAsia"/>
          <w:color w:val="auto"/>
          <w:highlight w:val="none"/>
        </w:rPr>
        <w:t>、合格的供应商不足</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家的，谈判小组、采购人在降低采购需求中的技术、服务要求以及合同草案条款后进行下一轮谈判。否则，本次谈判终止，重新开展采购活动。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27</w:t>
      </w:r>
      <w:r>
        <w:rPr>
          <w:rFonts w:hint="eastAsia" w:asciiTheme="minorEastAsia" w:hAnsiTheme="minorEastAsia" w:eastAsiaTheme="minorEastAsia"/>
          <w:color w:val="auto"/>
          <w:highlight w:val="none"/>
        </w:rPr>
        <w:t>、采购文件修正</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27.1</w:t>
      </w:r>
      <w:r>
        <w:rPr>
          <w:rFonts w:hint="eastAsia" w:asciiTheme="minorEastAsia" w:hAnsiTheme="minorEastAsia" w:eastAsiaTheme="minorEastAsia"/>
          <w:color w:val="auto"/>
          <w:highlight w:val="none"/>
        </w:rPr>
        <w:t>、谈判小组可根据采购文件和谈判情况实质性变动采购需求中的技术、服务要求以及合同草案条款，但不得变动采购文件中的其他内容。对采购文件作出的实质性变动是采购文件的有效组成部分。</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27.2</w:t>
      </w:r>
      <w:r>
        <w:rPr>
          <w:rFonts w:hint="eastAsia" w:asciiTheme="minorEastAsia" w:hAnsiTheme="minorEastAsia" w:eastAsiaTheme="minorEastAsia"/>
          <w:color w:val="auto"/>
          <w:highlight w:val="none"/>
        </w:rPr>
        <w:t>、谈判小组将采购文件的修改结果以书面形式通知参加谈判的供应商。</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27.3</w:t>
      </w:r>
      <w:r>
        <w:rPr>
          <w:rFonts w:hint="eastAsia" w:asciiTheme="minorEastAsia" w:hAnsiTheme="minorEastAsia" w:eastAsiaTheme="minorEastAsia"/>
          <w:color w:val="auto"/>
          <w:highlight w:val="none"/>
        </w:rPr>
        <w:t>、供应商根据第一轮谈判情况和采购文件修改书面通知，对原响应文件进行修正，并将修正文件签字（或盖章）后同时送交谈判小组。逾时不交的，视同放弃谈判。修正文件与响应文件同具法律效应。</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27.4</w:t>
      </w:r>
      <w:r>
        <w:rPr>
          <w:rFonts w:hint="eastAsia" w:asciiTheme="minorEastAsia" w:hAnsiTheme="minorEastAsia" w:eastAsiaTheme="minorEastAsia"/>
          <w:color w:val="auto"/>
          <w:highlight w:val="none"/>
        </w:rPr>
        <w:t>、对无法详细描述需求，需要供应商提供设计或者解决方案的项目，谈判小组可以根据采购人对需求确认情况，进行多轮谈判，直至采购人代表最终确认采购需求为止。</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28</w:t>
      </w:r>
      <w:r>
        <w:rPr>
          <w:rFonts w:hint="eastAsia" w:asciiTheme="minorEastAsia" w:hAnsiTheme="minorEastAsia" w:eastAsiaTheme="minorEastAsia"/>
          <w:color w:val="auto"/>
          <w:highlight w:val="none"/>
        </w:rPr>
        <w:t>、第二轮谈判</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28.1</w:t>
      </w:r>
      <w:r>
        <w:rPr>
          <w:rFonts w:hint="eastAsia" w:asciiTheme="minorEastAsia" w:hAnsiTheme="minorEastAsia" w:eastAsiaTheme="minorEastAsia"/>
          <w:color w:val="auto"/>
          <w:highlight w:val="none"/>
        </w:rPr>
        <w:t>、谈判小组就修正后的采购文件与供应商分别进行谈判。</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28.2</w:t>
      </w:r>
      <w:r>
        <w:rPr>
          <w:rFonts w:hint="eastAsia" w:asciiTheme="minorEastAsia" w:hAnsiTheme="minorEastAsia" w:eastAsiaTheme="minorEastAsia"/>
          <w:color w:val="auto"/>
          <w:highlight w:val="none"/>
        </w:rPr>
        <w:t>、第二轮谈判结束后，实质性响应采购文件及变动后采购文件要求的供应商超过或不足</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家的，按照上一轮谈判程序办理，以此类推。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29</w:t>
      </w:r>
      <w:r>
        <w:rPr>
          <w:rFonts w:hint="eastAsia" w:asciiTheme="minorEastAsia" w:hAnsiTheme="minorEastAsia" w:eastAsiaTheme="minorEastAsia"/>
          <w:color w:val="auto"/>
          <w:highlight w:val="none"/>
        </w:rPr>
        <w:t>、最后报价</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29.1</w:t>
      </w:r>
      <w:r>
        <w:rPr>
          <w:rFonts w:hint="eastAsia" w:asciiTheme="minorEastAsia" w:hAnsiTheme="minorEastAsia" w:eastAsiaTheme="minorEastAsia"/>
          <w:color w:val="auto"/>
          <w:highlight w:val="none"/>
        </w:rPr>
        <w:t>、谈判小组对采购文件中能够详细列明采购标的的技术、服务要求的，在谈判结束后，所有继续参加谈判合格的供应商应在规定时间内提交最后报价。</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29.2</w:t>
      </w:r>
      <w:r>
        <w:rPr>
          <w:rFonts w:hint="eastAsia" w:asciiTheme="minorEastAsia" w:hAnsiTheme="minorEastAsia" w:eastAsiaTheme="minorEastAsia"/>
          <w:color w:val="auto"/>
          <w:highlight w:val="none"/>
        </w:rPr>
        <w:t>、谈判小组对采购文件中不能详细描述和列明采购标的的技术、服务要求，需通过谈判由供应商提供最终设计方案或解决方案的，在谈判结束后，谈判小组按照少数服从多数的原则投票推荐</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家以上合格供应商的设计方案或者解决方案，并要求其在规定时间内提交最后报价。</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29.</w:t>
      </w:r>
      <w:r>
        <w:rPr>
          <w:rFonts w:hint="eastAsia" w:asciiTheme="minorEastAsia" w:hAnsiTheme="minorEastAsia" w:eastAsiaTheme="minorEastAsia"/>
          <w:color w:val="auto"/>
          <w:highlight w:val="none"/>
        </w:rPr>
        <w:t>3、供应商的报价均超过了政府采购预算或报价未超过采购预算的供应商不足三家的，谈判活动终止。</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29.</w:t>
      </w:r>
      <w:r>
        <w:rPr>
          <w:rFonts w:hint="eastAsia" w:asciiTheme="minorEastAsia" w:hAnsiTheme="minorEastAsia" w:eastAsiaTheme="minorEastAsia"/>
          <w:color w:val="auto"/>
          <w:highlight w:val="none"/>
        </w:rPr>
        <w:t>4、最后报价文件应在规定的时间内提交。最后报价是供应商响应文件的有效组成部分。</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29.5、</w:t>
      </w:r>
      <w:r>
        <w:rPr>
          <w:rFonts w:asciiTheme="minorEastAsia" w:hAnsiTheme="minorEastAsia" w:eastAsiaTheme="minorEastAsia"/>
          <w:color w:val="auto"/>
          <w:highlight w:val="none"/>
        </w:rPr>
        <w:t>已提交响应文件的供应商，在提交最后报价之前，可以根据谈判情况退出谈判</w:t>
      </w:r>
      <w:r>
        <w:rPr>
          <w:rFonts w:hint="eastAsia" w:asciiTheme="minorEastAsia" w:hAnsiTheme="minorEastAsia" w:eastAsiaTheme="minorEastAsia"/>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30、</w:t>
      </w:r>
      <w:r>
        <w:rPr>
          <w:rFonts w:asciiTheme="minorEastAsia" w:hAnsiTheme="minorEastAsia" w:eastAsiaTheme="minorEastAsia"/>
          <w:bCs/>
          <w:color w:val="auto"/>
          <w:highlight w:val="none"/>
        </w:rPr>
        <w:t>谈判小组应当从质量和服务均能满足采购文件实质性响应要求的供应商中，按照最后报价</w:t>
      </w:r>
      <w:r>
        <w:rPr>
          <w:rFonts w:hint="eastAsia" w:asciiTheme="minorEastAsia" w:hAnsiTheme="minorEastAsia" w:eastAsiaTheme="minorEastAsia"/>
          <w:bCs/>
          <w:color w:val="auto"/>
          <w:highlight w:val="none"/>
        </w:rPr>
        <w:t>（核算后）</w:t>
      </w:r>
      <w:r>
        <w:rPr>
          <w:rFonts w:asciiTheme="minorEastAsia" w:hAnsiTheme="minorEastAsia" w:eastAsiaTheme="minorEastAsia"/>
          <w:bCs/>
          <w:color w:val="auto"/>
          <w:highlight w:val="none"/>
        </w:rPr>
        <w:t>由低到高的顺序提出3名以上成交候选供应商，并编写评审报告</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30.1、如果出现相同最低报价，谈判小组将要求相同最低报价的供应商再次报价，直至确定只有一个最低报价为止。</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30.2、成交候选供应商数量详见《供应商须知前附表》。</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31、谈判小组在评审过程中发现多家供应商授权品牌相同，则应根据以下规定确定成交供应商的推荐资格：</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31.1、提供相同品牌产品且通过资格审查、符合性审查的不同供应商参加同一合同项下谈判的，按一家供应商计算，评审价格最低的同品牌供应商获得成交供应商推荐资格。其他同品牌供应商不作为成交候选供应商。</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32、非单一产品采购项目，采购人应当根据采购项目技术构成、产品价格比重等合理确定一个核心产品，并以“核心产品”在采购文件中标注。多家供应商提供的核心产品品牌相同的，按第31.1条规定处理。</w:t>
      </w:r>
    </w:p>
    <w:p>
      <w:pPr>
        <w:tabs>
          <w:tab w:val="left" w:pos="4800"/>
        </w:tabs>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六、确定成交供应商</w:t>
      </w:r>
      <w:r>
        <w:rPr>
          <w:rFonts w:asciiTheme="minorEastAsia" w:hAnsiTheme="minorEastAsia" w:eastAsiaTheme="minorEastAsia"/>
          <w:b/>
          <w:color w:val="auto"/>
          <w:highlight w:val="none"/>
        </w:rPr>
        <w:tab/>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33、采购代理机构应当在评审结束后将评审报告送采购人确认。</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34、</w:t>
      </w:r>
      <w:r>
        <w:rPr>
          <w:rFonts w:asciiTheme="minorEastAsia" w:hAnsiTheme="minorEastAsia" w:eastAsiaTheme="minorEastAsia"/>
          <w:bCs/>
          <w:color w:val="auto"/>
          <w:highlight w:val="none"/>
        </w:rPr>
        <w:t>采购人应当在收到评审报告后从评审报告提出的成交候选</w:t>
      </w:r>
      <w:r>
        <w:rPr>
          <w:rFonts w:hint="eastAsia" w:asciiTheme="minorEastAsia" w:hAnsiTheme="minorEastAsia" w:eastAsiaTheme="minorEastAsia"/>
          <w:bCs/>
          <w:color w:val="auto"/>
          <w:highlight w:val="none"/>
        </w:rPr>
        <w:t>供应商</w:t>
      </w:r>
      <w:r>
        <w:rPr>
          <w:rFonts w:asciiTheme="minorEastAsia" w:hAnsiTheme="minorEastAsia" w:eastAsiaTheme="minorEastAsia"/>
          <w:bCs/>
          <w:color w:val="auto"/>
          <w:highlight w:val="none"/>
        </w:rPr>
        <w:t>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r>
        <w:rPr>
          <w:rFonts w:hint="eastAsia" w:asciiTheme="minorEastAsia" w:hAnsiTheme="minorEastAsia" w:eastAsiaTheme="minorEastAsia"/>
          <w:bCs/>
          <w:color w:val="auto"/>
          <w:highlight w:val="none"/>
        </w:rPr>
        <w:t>（成交供应商数量有其他要求的，从评审报告提出的成交候选供应商中，按照</w:t>
      </w:r>
      <w:r>
        <w:rPr>
          <w:rFonts w:asciiTheme="minorEastAsia" w:hAnsiTheme="minorEastAsia" w:eastAsiaTheme="minorEastAsia"/>
          <w:bCs/>
          <w:color w:val="auto"/>
          <w:highlight w:val="none"/>
        </w:rPr>
        <w:t>最后报价由低到高的顺序</w:t>
      </w:r>
      <w:r>
        <w:rPr>
          <w:rFonts w:hint="eastAsia" w:asciiTheme="minorEastAsia" w:hAnsiTheme="minorEastAsia" w:eastAsiaTheme="minorEastAsia"/>
          <w:bCs/>
          <w:color w:val="auto"/>
          <w:highlight w:val="none"/>
        </w:rPr>
        <w:t>确定相应数量的成交供应商）。</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34.1、成交供应商数量详见《供应商须知前附表》。</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35、采购代理机构在成交供应商确定后，在第一章“竞争性谈判公告”指定的信息发布媒体上公告成交结果，同时向成交供应商发出成交通知书。公告期限为</w:t>
      </w:r>
      <w:r>
        <w:rPr>
          <w:rFonts w:asciiTheme="minorEastAsia" w:hAnsiTheme="minorEastAsia" w:eastAsiaTheme="minorEastAsia"/>
          <w:bCs/>
          <w:color w:val="auto"/>
          <w:highlight w:val="none"/>
        </w:rPr>
        <w:t>1</w:t>
      </w:r>
      <w:r>
        <w:rPr>
          <w:rFonts w:hint="eastAsia" w:asciiTheme="minorEastAsia" w:hAnsiTheme="minorEastAsia" w:eastAsiaTheme="minorEastAsia"/>
          <w:bCs/>
          <w:color w:val="auto"/>
          <w:highlight w:val="none"/>
        </w:rPr>
        <w:t>个工作日。</w:t>
      </w:r>
    </w:p>
    <w:p>
      <w:pPr>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七、签订合同</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36、采购文件对履约保证金有规定的，成交供应商应按规定在签订合同前缴纳履约保证金。有关履约保证金的规定详见《供应商须知前附表》。未按要求提交履约保证金的，视为放弃成交。给采购人造成的损失，成交供应商还应当予以赔偿。</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37、采购人与成交供应商应当在成交通知书发出之日起</w:t>
      </w:r>
      <w:r>
        <w:rPr>
          <w:rFonts w:asciiTheme="minorEastAsia" w:hAnsiTheme="minorEastAsia" w:eastAsiaTheme="minorEastAsia"/>
          <w:bCs/>
          <w:color w:val="auto"/>
          <w:highlight w:val="none"/>
        </w:rPr>
        <w:t>30</w:t>
      </w:r>
      <w:r>
        <w:rPr>
          <w:rFonts w:hint="eastAsia" w:asciiTheme="minorEastAsia" w:hAnsiTheme="minorEastAsia" w:eastAsiaTheme="minorEastAsia"/>
          <w:bCs/>
          <w:color w:val="auto"/>
          <w:highlight w:val="none"/>
        </w:rPr>
        <w:t>日内，按采购文件要求和成交供应商的响应文件承诺订立书面合同。</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38、采购人不得向成交供应商提出超出采购文件以外的任何要求作为签订合同的条件，采购人与成交供应商应不得订立背离采购文件确定的采购标的、规格型号、采购金额、采购数量、技术和服务要求等实质性内容的协议。</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39、除不可抗力等因素外，成交通知书发出后，采购人改变成交结果，或者成交供应商拒绝签订采购合同的，应当承担相应的法律责任。</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40、成交供应商拒绝签订采购合同的，采购人可以</w:t>
      </w:r>
      <w:r>
        <w:rPr>
          <w:rFonts w:hint="eastAsia" w:asciiTheme="minorEastAsia" w:hAnsiTheme="minorEastAsia" w:eastAsiaTheme="minorEastAsia"/>
          <w:bCs/>
          <w:color w:val="auto"/>
          <w:highlight w:val="none"/>
          <w:lang w:val="en-US" w:eastAsia="zh-CN"/>
        </w:rPr>
        <w:t>参</w:t>
      </w:r>
      <w:r>
        <w:rPr>
          <w:rFonts w:hint="eastAsia" w:asciiTheme="minorEastAsia" w:hAnsiTheme="minorEastAsia" w:eastAsiaTheme="minorEastAsia"/>
          <w:bCs/>
          <w:color w:val="auto"/>
          <w:highlight w:val="none"/>
        </w:rPr>
        <w:t>照《政府采购非招标采购方式管理办法》第二十二条规定的原则确定其他供应商作为成交供应商并签订采购合同，也可以重新开展采购活动。拒绝签订采购合同的成交供应商不得参加对该项目重新开展的采购活动。</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w:t>
      </w:r>
      <w:r>
        <w:rPr>
          <w:rFonts w:hint="eastAsia" w:asciiTheme="minorEastAsia" w:hAnsiTheme="minorEastAsia" w:eastAsiaTheme="minorEastAsia"/>
          <w:bCs/>
          <w:color w:val="auto"/>
          <w:highlight w:val="none"/>
          <w:lang w:val="en-US" w:eastAsia="zh-CN"/>
        </w:rPr>
        <w:t>1</w:t>
      </w:r>
      <w:r>
        <w:rPr>
          <w:rFonts w:hint="eastAsia" w:asciiTheme="minorEastAsia" w:hAnsiTheme="minorEastAsia" w:eastAsiaTheme="minorEastAsia"/>
          <w:bCs/>
          <w:color w:val="auto"/>
          <w:highlight w:val="none"/>
        </w:rPr>
        <w:t>、采购人应当按照政府采购合同规定，及时向成交供应商支付采购资金。</w:t>
      </w:r>
    </w:p>
    <w:p>
      <w:pPr>
        <w:ind w:firstLine="420"/>
        <w:rPr>
          <w:rFonts w:asciiTheme="minorEastAsia" w:hAnsiTheme="minorEastAsia" w:eastAsiaTheme="minorEastAsia"/>
          <w:bCs/>
          <w:color w:val="auto"/>
          <w:highlight w:val="none"/>
          <w:lang w:val="zh-CN"/>
        </w:rPr>
      </w:pPr>
      <w:r>
        <w:rPr>
          <w:rFonts w:hint="eastAsia" w:asciiTheme="minorEastAsia" w:hAnsiTheme="minorEastAsia" w:eastAsiaTheme="minorEastAsia"/>
          <w:bCs/>
          <w:color w:val="auto"/>
          <w:highlight w:val="none"/>
        </w:rPr>
        <w:t>4</w:t>
      </w:r>
      <w:r>
        <w:rPr>
          <w:rFonts w:hint="eastAsia" w:asciiTheme="minorEastAsia" w:hAnsiTheme="minorEastAsia" w:eastAsiaTheme="minorEastAsia"/>
          <w:bCs/>
          <w:color w:val="auto"/>
          <w:highlight w:val="none"/>
          <w:lang w:val="en-US" w:eastAsia="zh-CN"/>
        </w:rPr>
        <w:t>2</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lang w:val="zh-CN"/>
        </w:rPr>
        <w:t>付款方式：见合同格式。</w:t>
      </w:r>
    </w:p>
    <w:p>
      <w:pPr>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八、保密</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44、凡是属于审查、澄清、评价和比较的有关资料以及授标意向等，采购人、采购代理机构、监管人员、谈判小组及有关工作人员均不得向供应商或其它无关的人员透露。</w:t>
      </w:r>
    </w:p>
    <w:p>
      <w:pPr>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九、质疑和投诉</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45、质疑</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45.1、</w:t>
      </w:r>
      <w:r>
        <w:rPr>
          <w:rFonts w:asciiTheme="minorEastAsia" w:hAnsiTheme="minorEastAsia" w:eastAsiaTheme="minorEastAsia"/>
          <w:bCs/>
          <w:color w:val="auto"/>
          <w:highlight w:val="none"/>
        </w:rPr>
        <w:t>供应商认为采购文件、</w:t>
      </w:r>
      <w:r>
        <w:rPr>
          <w:rFonts w:hint="eastAsia" w:asciiTheme="minorEastAsia" w:hAnsiTheme="minorEastAsia" w:eastAsiaTheme="minorEastAsia"/>
          <w:bCs/>
          <w:color w:val="auto"/>
          <w:highlight w:val="none"/>
        </w:rPr>
        <w:t>谈判</w:t>
      </w:r>
      <w:r>
        <w:rPr>
          <w:rFonts w:asciiTheme="minorEastAsia" w:hAnsiTheme="minorEastAsia" w:eastAsiaTheme="minorEastAsia"/>
          <w:bCs/>
          <w:color w:val="auto"/>
          <w:highlight w:val="none"/>
        </w:rPr>
        <w:t>过程</w:t>
      </w:r>
      <w:r>
        <w:rPr>
          <w:rFonts w:hint="eastAsia" w:asciiTheme="minorEastAsia" w:hAnsiTheme="minorEastAsia" w:eastAsiaTheme="minorEastAsia"/>
          <w:bCs/>
          <w:color w:val="auto"/>
          <w:highlight w:val="none"/>
        </w:rPr>
        <w:t>和</w:t>
      </w:r>
      <w:r>
        <w:rPr>
          <w:rFonts w:asciiTheme="minorEastAsia" w:hAnsiTheme="minorEastAsia" w:eastAsiaTheme="minorEastAsia"/>
          <w:bCs/>
          <w:color w:val="auto"/>
          <w:highlight w:val="none"/>
        </w:rPr>
        <w:t>成交结果使自己的权益受到损害的，可以在知道或者应知其权益受到损害之日起7个工作日内，以书面形式向采购人、采购代理机构一次性提出针对同一采购程序环节的质疑。</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45.2、质疑应当有具体的质疑事项及事实依据，不得进行虚假、恶意质疑。属于虚假、恶意质疑的将列入不良行为记录名单，必要时予以网上公布。</w:t>
      </w:r>
      <w:r>
        <w:rPr>
          <w:rFonts w:asciiTheme="minorEastAsia" w:hAnsiTheme="minorEastAsia" w:eastAsiaTheme="minorEastAsia"/>
          <w:bCs/>
          <w:color w:val="auto"/>
          <w:highlight w:val="none"/>
        </w:rPr>
        <w:t>供应商提出质疑应当提交质疑函和必要的证明材料。质疑函应当包括下列内容：</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45.2.1、</w:t>
      </w:r>
      <w:r>
        <w:rPr>
          <w:rFonts w:asciiTheme="minorEastAsia" w:hAnsiTheme="minorEastAsia" w:eastAsiaTheme="minorEastAsia"/>
          <w:bCs/>
          <w:color w:val="auto"/>
          <w:highlight w:val="none"/>
        </w:rPr>
        <w:t>供应商的姓名或者名称、地址、邮编、联系人及联系电话</w:t>
      </w:r>
      <w:r>
        <w:rPr>
          <w:rFonts w:hint="eastAsia" w:asciiTheme="minorEastAsia" w:hAnsiTheme="minorEastAsia" w:eastAsiaTheme="minorEastAsia"/>
          <w:bCs/>
          <w:color w:val="auto"/>
          <w:highlight w:val="none"/>
        </w:rPr>
        <w:t>（</w:t>
      </w:r>
      <w:r>
        <w:rPr>
          <w:rFonts w:asciiTheme="minorEastAsia" w:hAnsiTheme="minorEastAsia" w:eastAsiaTheme="minorEastAsia"/>
          <w:bCs/>
          <w:color w:val="auto"/>
          <w:highlight w:val="none"/>
        </w:rPr>
        <w:t>供应商为自然人的，应当由本人签字；供应商为法人或者其他组织的，应当由法定代表人、主要负责人，或者其授权代表（签字）或者盖章，并加盖公章。</w:t>
      </w:r>
      <w:r>
        <w:rPr>
          <w:rFonts w:hint="eastAsia" w:asciiTheme="minorEastAsia" w:hAnsiTheme="minorEastAsia" w:eastAsiaTheme="minorEastAsia"/>
          <w:bCs/>
          <w:color w:val="auto"/>
          <w:highlight w:val="none"/>
        </w:rPr>
        <w:t>供应商授权代表办理质疑事务的，应当提供授权委托书，授权委托书应当载明委托代理的具体权限和事项）；</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45.2.2、</w:t>
      </w:r>
      <w:r>
        <w:rPr>
          <w:rFonts w:asciiTheme="minorEastAsia" w:hAnsiTheme="minorEastAsia" w:eastAsiaTheme="minorEastAsia"/>
          <w:bCs/>
          <w:color w:val="auto"/>
          <w:highlight w:val="none"/>
        </w:rPr>
        <w:t>质疑项目的名称、编号</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45.2.3、具</w:t>
      </w:r>
      <w:r>
        <w:rPr>
          <w:rFonts w:asciiTheme="minorEastAsia" w:hAnsiTheme="minorEastAsia" w:eastAsiaTheme="minorEastAsia"/>
          <w:bCs/>
          <w:color w:val="auto"/>
          <w:highlight w:val="none"/>
        </w:rPr>
        <w:t>体、明确的质疑事项和与质疑事项相关的请求</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45.2.4、质疑事项的事实根据、及其他必要的证明材料（供应商提供的证明材料属于其他供应商响应文件未公开内容的，应当提供书面材料证明其合法来源）；</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45.2.5、</w:t>
      </w:r>
      <w:r>
        <w:rPr>
          <w:rFonts w:asciiTheme="minorEastAsia" w:hAnsiTheme="minorEastAsia" w:eastAsiaTheme="minorEastAsia"/>
          <w:bCs/>
          <w:color w:val="auto"/>
          <w:highlight w:val="none"/>
        </w:rPr>
        <w:t>必要的法律依据</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45.2.6、提起质疑的日期。</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45.3、质疑</w:t>
      </w:r>
      <w:r>
        <w:rPr>
          <w:rFonts w:asciiTheme="minorEastAsia" w:hAnsiTheme="minorEastAsia" w:eastAsiaTheme="minorEastAsia"/>
          <w:bCs/>
          <w:color w:val="auto"/>
          <w:highlight w:val="none"/>
        </w:rPr>
        <w:t>函</w:t>
      </w:r>
      <w:r>
        <w:rPr>
          <w:rFonts w:hint="eastAsia" w:asciiTheme="minorEastAsia" w:hAnsiTheme="minorEastAsia" w:eastAsiaTheme="minorEastAsia"/>
          <w:bCs/>
          <w:color w:val="auto"/>
          <w:highlight w:val="none"/>
        </w:rPr>
        <w:t>不符合上述要求的，采购人或代理机构应书面告知具体事项，供应商应当按要求进行修改或补充，并在质疑有效期限内提交。</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45.4、供应商</w:t>
      </w:r>
      <w:r>
        <w:rPr>
          <w:rFonts w:asciiTheme="minorEastAsia" w:hAnsiTheme="minorEastAsia" w:eastAsiaTheme="minorEastAsia"/>
          <w:bCs/>
          <w:color w:val="auto"/>
          <w:highlight w:val="none"/>
        </w:rPr>
        <w:t>应知其权益受到损害之日是指：</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45.4.1、</w:t>
      </w:r>
      <w:r>
        <w:rPr>
          <w:rFonts w:asciiTheme="minorEastAsia" w:hAnsiTheme="minorEastAsia" w:eastAsiaTheme="minorEastAsia"/>
          <w:bCs/>
          <w:color w:val="auto"/>
          <w:highlight w:val="none"/>
        </w:rPr>
        <w:t>对可以质疑的</w:t>
      </w:r>
      <w:r>
        <w:rPr>
          <w:rFonts w:hint="eastAsia" w:asciiTheme="minorEastAsia" w:hAnsiTheme="minorEastAsia" w:eastAsiaTheme="minorEastAsia"/>
          <w:bCs/>
          <w:color w:val="auto"/>
          <w:highlight w:val="none"/>
        </w:rPr>
        <w:t>采购</w:t>
      </w:r>
      <w:r>
        <w:rPr>
          <w:rFonts w:asciiTheme="minorEastAsia" w:hAnsiTheme="minorEastAsia" w:eastAsiaTheme="minorEastAsia"/>
          <w:bCs/>
          <w:color w:val="auto"/>
          <w:highlight w:val="none"/>
        </w:rPr>
        <w:t>文件提出质疑的，为收到</w:t>
      </w:r>
      <w:r>
        <w:rPr>
          <w:rFonts w:hint="eastAsia" w:asciiTheme="minorEastAsia" w:hAnsiTheme="minorEastAsia" w:eastAsiaTheme="minorEastAsia"/>
          <w:bCs/>
          <w:color w:val="auto"/>
          <w:highlight w:val="none"/>
        </w:rPr>
        <w:t>采购</w:t>
      </w:r>
      <w:r>
        <w:rPr>
          <w:rFonts w:asciiTheme="minorEastAsia" w:hAnsiTheme="minorEastAsia" w:eastAsiaTheme="minorEastAsia"/>
          <w:bCs/>
          <w:color w:val="auto"/>
          <w:highlight w:val="none"/>
        </w:rPr>
        <w:t>文件之日或者</w:t>
      </w:r>
      <w:r>
        <w:rPr>
          <w:rFonts w:hint="eastAsia" w:asciiTheme="minorEastAsia" w:hAnsiTheme="minorEastAsia" w:eastAsiaTheme="minorEastAsia"/>
          <w:bCs/>
          <w:color w:val="auto"/>
          <w:highlight w:val="none"/>
        </w:rPr>
        <w:t>采购</w:t>
      </w:r>
      <w:r>
        <w:rPr>
          <w:rFonts w:asciiTheme="minorEastAsia" w:hAnsiTheme="minorEastAsia" w:eastAsiaTheme="minorEastAsia"/>
          <w:bCs/>
          <w:color w:val="auto"/>
          <w:highlight w:val="none"/>
        </w:rPr>
        <w:t>文件公告期限届满之日</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45.4.2、</w:t>
      </w:r>
      <w:r>
        <w:rPr>
          <w:rFonts w:asciiTheme="minorEastAsia" w:hAnsiTheme="minorEastAsia" w:eastAsiaTheme="minorEastAsia"/>
          <w:bCs/>
          <w:color w:val="auto"/>
          <w:highlight w:val="none"/>
        </w:rPr>
        <w:t>对</w:t>
      </w:r>
      <w:r>
        <w:rPr>
          <w:rFonts w:hint="eastAsia" w:asciiTheme="minorEastAsia" w:hAnsiTheme="minorEastAsia" w:eastAsiaTheme="minorEastAsia"/>
          <w:bCs/>
          <w:color w:val="auto"/>
          <w:highlight w:val="none"/>
        </w:rPr>
        <w:t>谈判</w:t>
      </w:r>
      <w:r>
        <w:rPr>
          <w:rFonts w:asciiTheme="minorEastAsia" w:hAnsiTheme="minorEastAsia" w:eastAsiaTheme="minorEastAsia"/>
          <w:bCs/>
          <w:color w:val="auto"/>
          <w:highlight w:val="none"/>
        </w:rPr>
        <w:t>过程提出质疑的，为各</w:t>
      </w:r>
      <w:r>
        <w:rPr>
          <w:rFonts w:hint="eastAsia" w:asciiTheme="minorEastAsia" w:hAnsiTheme="minorEastAsia" w:eastAsiaTheme="minorEastAsia"/>
          <w:bCs/>
          <w:color w:val="auto"/>
          <w:highlight w:val="none"/>
        </w:rPr>
        <w:t>谈判</w:t>
      </w:r>
      <w:r>
        <w:rPr>
          <w:rFonts w:asciiTheme="minorEastAsia" w:hAnsiTheme="minorEastAsia" w:eastAsiaTheme="minorEastAsia"/>
          <w:bCs/>
          <w:color w:val="auto"/>
          <w:highlight w:val="none"/>
        </w:rPr>
        <w:t>程序环节结束之日</w:t>
      </w:r>
      <w:r>
        <w:rPr>
          <w:rFonts w:hint="eastAsia" w:asciiTheme="minorEastAsia" w:hAnsiTheme="minorEastAsia" w:eastAsiaTheme="minorEastAsia"/>
          <w:bCs/>
          <w:color w:val="auto"/>
          <w:highlight w:val="none"/>
        </w:rPr>
        <w:t>；</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45.4.3、</w:t>
      </w:r>
      <w:r>
        <w:rPr>
          <w:rFonts w:asciiTheme="minorEastAsia" w:hAnsiTheme="minorEastAsia" w:eastAsiaTheme="minorEastAsia"/>
          <w:bCs/>
          <w:color w:val="auto"/>
          <w:highlight w:val="none"/>
        </w:rPr>
        <w:t>对</w:t>
      </w:r>
      <w:r>
        <w:rPr>
          <w:rFonts w:hint="eastAsia" w:asciiTheme="minorEastAsia" w:hAnsiTheme="minorEastAsia" w:eastAsiaTheme="minorEastAsia"/>
          <w:bCs/>
          <w:color w:val="auto"/>
          <w:highlight w:val="none"/>
        </w:rPr>
        <w:t>成交</w:t>
      </w:r>
      <w:r>
        <w:rPr>
          <w:rFonts w:asciiTheme="minorEastAsia" w:hAnsiTheme="minorEastAsia" w:eastAsiaTheme="minorEastAsia"/>
          <w:bCs/>
          <w:color w:val="auto"/>
          <w:highlight w:val="none"/>
        </w:rPr>
        <w:t>结果提出质疑的，为</w:t>
      </w:r>
      <w:r>
        <w:rPr>
          <w:rFonts w:hint="eastAsia" w:asciiTheme="minorEastAsia" w:hAnsiTheme="minorEastAsia" w:eastAsiaTheme="minorEastAsia"/>
          <w:bCs/>
          <w:color w:val="auto"/>
          <w:highlight w:val="none"/>
        </w:rPr>
        <w:t>成交</w:t>
      </w:r>
      <w:r>
        <w:rPr>
          <w:rFonts w:asciiTheme="minorEastAsia" w:hAnsiTheme="minorEastAsia" w:eastAsiaTheme="minorEastAsia"/>
          <w:bCs/>
          <w:color w:val="auto"/>
          <w:highlight w:val="none"/>
        </w:rPr>
        <w:t>公告期限届满之日。</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46、质疑不予受理的情形。供应商未按本章规定的时限、内容及方式进行质疑的，采购代理机构不予受理。</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47、投诉</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47.1、质疑供应商对采购人、采购代理机构的答复不满意或者采购人、采购代理机构未在规定的时间内作出答复的，可以在答复期满后15个工作日内向采购监督管理部门投诉。供应商投诉应当有明确的请求和必要的证明材料，且投诉的事项不得超出已质疑事项的范围。</w:t>
      </w:r>
    </w:p>
    <w:p>
      <w:pPr>
        <w:ind w:firstLine="422"/>
        <w:rPr>
          <w:rFonts w:asciiTheme="minorEastAsia" w:hAnsiTheme="minorEastAsia" w:eastAsiaTheme="minorEastAsia"/>
          <w:b/>
          <w:bCs/>
          <w:color w:val="auto"/>
          <w:highlight w:val="none"/>
        </w:rPr>
      </w:pPr>
      <w:bookmarkStart w:id="76" w:name="_Toc11184"/>
      <w:bookmarkStart w:id="77" w:name="_Toc494561948"/>
      <w:r>
        <w:rPr>
          <w:rFonts w:hint="eastAsia" w:asciiTheme="minorEastAsia" w:hAnsiTheme="minorEastAsia" w:eastAsiaTheme="minorEastAsia"/>
          <w:b/>
          <w:bCs/>
          <w:color w:val="auto"/>
          <w:highlight w:val="none"/>
        </w:rPr>
        <w:t>十、其他注意事项</w:t>
      </w:r>
      <w:bookmarkEnd w:id="76"/>
      <w:bookmarkEnd w:id="77"/>
    </w:p>
    <w:p>
      <w:pPr>
        <w:ind w:firstLine="420"/>
        <w:rPr>
          <w:rFonts w:asciiTheme="minorEastAsia" w:hAnsiTheme="minorEastAsia" w:eastAsiaTheme="minorEastAsia"/>
          <w:bCs/>
          <w:color w:val="auto"/>
          <w:highlight w:val="none"/>
          <w:lang w:val="zh-CN"/>
        </w:rPr>
      </w:pPr>
      <w:r>
        <w:rPr>
          <w:rFonts w:hint="eastAsia" w:asciiTheme="minorEastAsia" w:hAnsiTheme="minorEastAsia" w:eastAsiaTheme="minorEastAsia"/>
          <w:bCs/>
          <w:color w:val="auto"/>
          <w:highlight w:val="none"/>
        </w:rPr>
        <w:t>48、单</w:t>
      </w:r>
      <w:r>
        <w:rPr>
          <w:rFonts w:hint="eastAsia" w:asciiTheme="minorEastAsia" w:hAnsiTheme="minorEastAsia" w:eastAsiaTheme="minorEastAsia"/>
          <w:bCs/>
          <w:color w:val="auto"/>
          <w:highlight w:val="none"/>
          <w:lang w:val="zh-CN"/>
        </w:rPr>
        <w:t>位负责人为同一人或者存在直接控股、管理关系的不同供应商，不得参加同一合同项下的政府采购活动。</w:t>
      </w:r>
    </w:p>
    <w:p>
      <w:pPr>
        <w:ind w:firstLine="420"/>
        <w:rPr>
          <w:rFonts w:asciiTheme="minorEastAsia" w:hAnsiTheme="minorEastAsia" w:eastAsiaTheme="minorEastAsia"/>
          <w:bCs/>
          <w:color w:val="auto"/>
          <w:highlight w:val="none"/>
          <w:lang w:val="zh-CN"/>
        </w:rPr>
      </w:pPr>
      <w:r>
        <w:rPr>
          <w:rFonts w:hint="eastAsia" w:asciiTheme="minorEastAsia" w:hAnsiTheme="minorEastAsia" w:eastAsiaTheme="minorEastAsia"/>
          <w:bCs/>
          <w:color w:val="auto"/>
          <w:highlight w:val="none"/>
          <w:lang w:val="zh-CN"/>
        </w:rPr>
        <w:t>49、除单一来源采购项目外，为采购项目提供整体设计、规范编制或者项目管理、监理、检测等服务的供应商，不得再参加该采购项目的其他采购活动。</w:t>
      </w:r>
    </w:p>
    <w:p>
      <w:pPr>
        <w:ind w:firstLine="420"/>
        <w:rPr>
          <w:rFonts w:asciiTheme="minorEastAsia" w:hAnsiTheme="minorEastAsia" w:eastAsiaTheme="minorEastAsia"/>
          <w:bCs/>
          <w:color w:val="auto"/>
          <w:highlight w:val="none"/>
          <w:lang w:val="zh-CN"/>
        </w:rPr>
      </w:pPr>
      <w:r>
        <w:rPr>
          <w:rFonts w:hint="eastAsia" w:asciiTheme="minorEastAsia" w:hAnsiTheme="minorEastAsia" w:eastAsiaTheme="minorEastAsia"/>
          <w:bCs/>
          <w:color w:val="auto"/>
          <w:highlight w:val="none"/>
          <w:lang w:val="zh-CN"/>
        </w:rPr>
        <w:t>50、供应商不得与采购人和采购代理机构有任何隶属关系或其他利益关系。</w:t>
      </w:r>
    </w:p>
    <w:p>
      <w:pPr>
        <w:ind w:firstLine="422"/>
        <w:rPr>
          <w:rFonts w:asciiTheme="minorEastAsia" w:hAnsiTheme="minorEastAsia" w:eastAsiaTheme="minorEastAsia"/>
          <w:b/>
          <w:bCs/>
          <w:color w:val="auto"/>
          <w:highlight w:val="none"/>
        </w:rPr>
      </w:pPr>
      <w:bookmarkStart w:id="78" w:name="_Toc14154"/>
      <w:bookmarkStart w:id="79" w:name="_Toc494561947"/>
      <w:bookmarkStart w:id="80" w:name="_Toc494561950"/>
      <w:bookmarkStart w:id="81" w:name="_Toc1604"/>
      <w:bookmarkStart w:id="82" w:name="_Toc278891599"/>
      <w:bookmarkStart w:id="83" w:name="_Toc272247702"/>
      <w:r>
        <w:rPr>
          <w:rFonts w:hint="eastAsia" w:asciiTheme="minorEastAsia" w:hAnsiTheme="minorEastAsia" w:eastAsiaTheme="minorEastAsia"/>
          <w:b/>
          <w:bCs/>
          <w:color w:val="auto"/>
          <w:highlight w:val="none"/>
        </w:rPr>
        <w:t>十一、相关条文解读</w:t>
      </w:r>
      <w:bookmarkEnd w:id="78"/>
      <w:bookmarkEnd w:id="79"/>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51、《政府采购法》第二十二条第五款所称重大违法记录，是指供应商因违法经营受到刑事处罚或者责令停产停业、吊销许可证或者执照、较大数额罚款等行政处罚。</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52、</w:t>
      </w:r>
      <w:r>
        <w:rPr>
          <w:rFonts w:hint="eastAsia" w:asciiTheme="minorEastAsia" w:hAnsiTheme="minorEastAsia" w:eastAsiaTheme="minorEastAsia"/>
          <w:bCs/>
          <w:color w:val="auto"/>
          <w:highlight w:val="none"/>
          <w:lang w:val="en-US" w:eastAsia="zh-CN"/>
        </w:rPr>
        <w:t>参</w:t>
      </w:r>
      <w:r>
        <w:rPr>
          <w:rFonts w:hint="eastAsia" w:asciiTheme="minorEastAsia" w:hAnsiTheme="minorEastAsia" w:eastAsiaTheme="minorEastAsia"/>
          <w:bCs/>
          <w:color w:val="auto"/>
          <w:highlight w:val="none"/>
        </w:rPr>
        <w:t>照财政部《关于规范政府采购行政处罚有关问题的通知》的规定，</w:t>
      </w:r>
      <w:r>
        <w:rPr>
          <w:rFonts w:asciiTheme="minorEastAsia" w:hAnsiTheme="minorEastAsia" w:eastAsiaTheme="minorEastAsia"/>
          <w:bCs/>
          <w:color w:val="auto"/>
          <w:highlight w:val="none"/>
        </w:rPr>
        <w:t>各级人民政府财政部门依法对参加政府采购活动的</w:t>
      </w:r>
      <w:r>
        <w:rPr>
          <w:rFonts w:hint="eastAsia" w:asciiTheme="minorEastAsia" w:hAnsiTheme="minorEastAsia" w:eastAsiaTheme="minorEastAsia"/>
          <w:bCs/>
          <w:color w:val="auto"/>
          <w:highlight w:val="none"/>
        </w:rPr>
        <w:t>供应商</w:t>
      </w:r>
      <w:r>
        <w:rPr>
          <w:rFonts w:asciiTheme="minorEastAsia" w:hAnsiTheme="minorEastAsia" w:eastAsiaTheme="minorEastAsia"/>
          <w:bCs/>
          <w:color w:val="auto"/>
          <w:highlight w:val="none"/>
        </w:rPr>
        <w:t>作出的禁止参加政府采购活动等行政处罚决定在全国范围内生效。</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53、供应商在参加政府采购活动前三年内因违法经营被禁止在一定期限内参加政府采购活动，期限届满的，可以参加政府采购活动。</w:t>
      </w:r>
    </w:p>
    <w:p>
      <w:pPr>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十二、适用法律、法规、规章及规范性文件</w:t>
      </w:r>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55、采购</w:t>
      </w:r>
      <w:r>
        <w:rPr>
          <w:rFonts w:hint="eastAsia" w:asciiTheme="minorEastAsia" w:hAnsiTheme="minorEastAsia" w:eastAsiaTheme="minorEastAsia"/>
          <w:bCs/>
          <w:color w:val="auto"/>
          <w:highlight w:val="none"/>
          <w:lang w:val="zh-CN"/>
        </w:rPr>
        <w:t>当事人</w:t>
      </w:r>
      <w:r>
        <w:rPr>
          <w:rFonts w:hint="eastAsia" w:asciiTheme="minorEastAsia" w:hAnsiTheme="minorEastAsia" w:eastAsiaTheme="minorEastAsia"/>
          <w:bCs/>
          <w:color w:val="auto"/>
          <w:highlight w:val="none"/>
        </w:rPr>
        <w:t>的一切活动均适用于相关</w:t>
      </w:r>
      <w:r>
        <w:rPr>
          <w:rFonts w:hint="eastAsia" w:asciiTheme="minorEastAsia" w:hAnsiTheme="minorEastAsia" w:eastAsiaTheme="minorEastAsia"/>
          <w:bCs/>
          <w:color w:val="auto"/>
          <w:highlight w:val="none"/>
          <w:lang w:val="en-US" w:eastAsia="zh-CN"/>
        </w:rPr>
        <w:t>招投标法律、</w:t>
      </w:r>
      <w:r>
        <w:rPr>
          <w:rFonts w:hint="eastAsia" w:asciiTheme="minorEastAsia" w:hAnsiTheme="minorEastAsia" w:eastAsiaTheme="minorEastAsia"/>
          <w:bCs/>
          <w:color w:val="auto"/>
          <w:highlight w:val="none"/>
        </w:rPr>
        <w:t>法规。</w:t>
      </w:r>
      <w:r>
        <w:rPr>
          <w:rFonts w:asciiTheme="minorEastAsia" w:hAnsiTheme="minorEastAsia" w:eastAsiaTheme="minorEastAsia"/>
          <w:bCs/>
          <w:color w:val="auto"/>
          <w:highlight w:val="none"/>
        </w:rPr>
        <w:t>采购合同的履行、违约责任和解决争议的方法等适用《</w:t>
      </w:r>
      <w:r>
        <w:rPr>
          <w:rFonts w:hint="eastAsia" w:asciiTheme="minorEastAsia" w:hAnsiTheme="minorEastAsia" w:eastAsiaTheme="minorEastAsia"/>
          <w:bCs/>
          <w:color w:val="auto"/>
          <w:highlight w:val="none"/>
        </w:rPr>
        <w:t>中华人民共和国民法典</w:t>
      </w:r>
      <w:r>
        <w:rPr>
          <w:rFonts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rPr>
        <w:t>。</w:t>
      </w:r>
    </w:p>
    <w:p>
      <w:pPr>
        <w:ind w:firstLine="42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十三、采购文件的解释权</w:t>
      </w:r>
      <w:bookmarkEnd w:id="80"/>
      <w:bookmarkEnd w:id="81"/>
      <w:bookmarkEnd w:id="82"/>
      <w:bookmarkEnd w:id="83"/>
    </w:p>
    <w:p>
      <w:pPr>
        <w:ind w:firstLine="42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56、本竞争性谈判采购文件的最终解释权为采购人、采购代理机构所有。</w:t>
      </w:r>
    </w:p>
    <w:p>
      <w:pPr>
        <w:rPr>
          <w:rFonts w:asciiTheme="minorEastAsia" w:hAnsiTheme="minorEastAsia" w:eastAsiaTheme="minorEastAsia"/>
          <w:color w:val="auto"/>
          <w:highlight w:val="none"/>
        </w:rPr>
      </w:pPr>
      <w:bookmarkStart w:id="84" w:name="_Toc83732591"/>
      <w:r>
        <w:rPr>
          <w:rFonts w:asciiTheme="minorEastAsia" w:hAnsiTheme="minorEastAsia" w:eastAsiaTheme="minorEastAsia"/>
          <w:color w:val="auto"/>
          <w:highlight w:val="none"/>
        </w:rPr>
        <w:br w:type="page"/>
      </w:r>
    </w:p>
    <w:p>
      <w:pPr>
        <w:pStyle w:val="7"/>
        <w:rPr>
          <w:rFonts w:hint="default" w:asciiTheme="minorEastAsia" w:hAnsiTheme="minorEastAsia" w:eastAsiaTheme="minorEastAsia"/>
          <w:color w:val="auto"/>
          <w:highlight w:val="none"/>
          <w:lang w:val="en-US" w:eastAsia="zh-CN"/>
        </w:rPr>
      </w:pPr>
      <w:r>
        <w:rPr>
          <w:rFonts w:asciiTheme="minorEastAsia" w:hAnsiTheme="minorEastAsia" w:eastAsiaTheme="minorEastAsia"/>
          <w:color w:val="auto"/>
          <w:highlight w:val="none"/>
        </w:rPr>
        <w:t>第三章</w:t>
      </w:r>
      <w:r>
        <w:rPr>
          <w:rFonts w:hint="eastAsia" w:asciiTheme="minorEastAsia" w:hAnsiTheme="minorEastAsia" w:eastAsiaTheme="minorEastAsia"/>
          <w:color w:val="auto"/>
          <w:highlight w:val="none"/>
        </w:rPr>
        <w:t xml:space="preserve">  采购需求</w:t>
      </w:r>
      <w:bookmarkEnd w:id="84"/>
    </w:p>
    <w:p>
      <w:pPr>
        <w:ind w:firstLine="422"/>
        <w:rPr>
          <w:rFonts w:hint="eastAsia"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一、标的物清单</w:t>
      </w:r>
    </w:p>
    <w:tbl>
      <w:tblPr>
        <w:tblStyle w:val="34"/>
        <w:tblpPr w:leftFromText="180" w:rightFromText="180" w:vertAnchor="text" w:horzAnchor="margin" w:tblpX="108" w:tblpY="37"/>
        <w:tblW w:w="8472" w:type="dxa"/>
        <w:tblInd w:w="0" w:type="dxa"/>
        <w:tblLayout w:type="fixed"/>
        <w:tblCellMar>
          <w:top w:w="0" w:type="dxa"/>
          <w:left w:w="108" w:type="dxa"/>
          <w:bottom w:w="0" w:type="dxa"/>
          <w:right w:w="108" w:type="dxa"/>
        </w:tblCellMar>
      </w:tblPr>
      <w:tblGrid>
        <w:gridCol w:w="959"/>
        <w:gridCol w:w="1100"/>
        <w:gridCol w:w="1735"/>
        <w:gridCol w:w="1130"/>
        <w:gridCol w:w="1378"/>
        <w:gridCol w:w="2170"/>
      </w:tblGrid>
      <w:tr>
        <w:tblPrEx>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ind w:firstLine="0" w:firstLineChars="0"/>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2835" w:type="dxa"/>
            <w:gridSpan w:val="2"/>
            <w:tcBorders>
              <w:top w:val="single" w:color="auto" w:sz="4" w:space="0"/>
              <w:left w:val="nil"/>
              <w:bottom w:val="single" w:color="auto" w:sz="4" w:space="0"/>
              <w:right w:val="single" w:color="auto" w:sz="4" w:space="0"/>
            </w:tcBorders>
            <w:shd w:val="clear" w:color="auto" w:fill="D9D9D9"/>
            <w:vAlign w:val="center"/>
          </w:tcPr>
          <w:p>
            <w:pPr>
              <w:widowControl/>
              <w:ind w:firstLine="199" w:firstLineChars="95"/>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名称</w:t>
            </w:r>
          </w:p>
        </w:tc>
        <w:tc>
          <w:tcPr>
            <w:tcW w:w="1130" w:type="dxa"/>
            <w:tcBorders>
              <w:top w:val="single" w:color="auto" w:sz="4" w:space="0"/>
              <w:left w:val="nil"/>
              <w:bottom w:val="single" w:color="auto" w:sz="4" w:space="0"/>
              <w:right w:val="single" w:color="auto" w:sz="4" w:space="0"/>
            </w:tcBorders>
            <w:shd w:val="clear" w:color="auto" w:fill="D9D9D9"/>
            <w:vAlign w:val="center"/>
          </w:tcPr>
          <w:p>
            <w:pPr>
              <w:widowControl/>
              <w:ind w:firstLine="0" w:firstLineChars="0"/>
              <w:jc w:val="center"/>
              <w:textAlignment w:val="cente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参数</w:t>
            </w:r>
          </w:p>
        </w:tc>
        <w:tc>
          <w:tcPr>
            <w:tcW w:w="1378" w:type="dxa"/>
            <w:tcBorders>
              <w:top w:val="single" w:color="auto" w:sz="4" w:space="0"/>
              <w:left w:val="nil"/>
              <w:bottom w:val="single" w:color="auto" w:sz="4" w:space="0"/>
              <w:right w:val="single" w:color="auto" w:sz="4" w:space="0"/>
            </w:tcBorders>
            <w:shd w:val="clear" w:color="auto" w:fill="D9D9D9"/>
            <w:vAlign w:val="center"/>
          </w:tcPr>
          <w:p>
            <w:pPr>
              <w:widowControl/>
              <w:ind w:firstLine="199" w:firstLineChars="95"/>
              <w:jc w:val="center"/>
              <w:textAlignment w:val="cente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时长</w:t>
            </w:r>
          </w:p>
        </w:tc>
        <w:tc>
          <w:tcPr>
            <w:tcW w:w="2170" w:type="dxa"/>
            <w:tcBorders>
              <w:top w:val="single" w:color="auto" w:sz="4" w:space="0"/>
              <w:left w:val="nil"/>
              <w:bottom w:val="single" w:color="auto" w:sz="4" w:space="0"/>
              <w:right w:val="single" w:color="auto" w:sz="4" w:space="0"/>
            </w:tcBorders>
            <w:shd w:val="clear" w:color="auto" w:fill="D9D9D9"/>
            <w:vAlign w:val="center"/>
          </w:tcPr>
          <w:p>
            <w:pPr>
              <w:widowControl/>
              <w:ind w:firstLine="0" w:firstLineChars="0"/>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货物/服务</w:t>
            </w:r>
          </w:p>
        </w:tc>
      </w:tr>
      <w:tr>
        <w:tblPrEx>
          <w:tblCellMar>
            <w:top w:w="0" w:type="dxa"/>
            <w:left w:w="108" w:type="dxa"/>
            <w:bottom w:w="0" w:type="dxa"/>
            <w:right w:w="108" w:type="dxa"/>
          </w:tblCellMar>
        </w:tblPrEx>
        <w:trPr>
          <w:trHeight w:val="20" w:hRule="atLeast"/>
        </w:trPr>
        <w:tc>
          <w:tcPr>
            <w:tcW w:w="959" w:type="dxa"/>
            <w:tcBorders>
              <w:top w:val="nil"/>
              <w:left w:val="single" w:color="auto" w:sz="4" w:space="0"/>
              <w:bottom w:val="single" w:color="auto" w:sz="4" w:space="0"/>
              <w:right w:val="single" w:color="auto" w:sz="4" w:space="0"/>
            </w:tcBorders>
            <w:vAlign w:val="center"/>
          </w:tcPr>
          <w:p>
            <w:pPr>
              <w:widowControl/>
              <w:ind w:firstLine="199" w:firstLineChars="95"/>
              <w:jc w:val="center"/>
              <w:textAlignment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2835" w:type="dxa"/>
            <w:gridSpan w:val="2"/>
            <w:tcBorders>
              <w:top w:val="nil"/>
              <w:left w:val="nil"/>
              <w:bottom w:val="single" w:color="auto" w:sz="4" w:space="0"/>
              <w:right w:val="single" w:color="auto" w:sz="4" w:space="0"/>
            </w:tcBorders>
            <w:vAlign w:val="center"/>
          </w:tcPr>
          <w:p>
            <w:pPr>
              <w:widowControl/>
              <w:ind w:firstLine="0" w:firstLineChars="0"/>
              <w:jc w:val="center"/>
              <w:textAlignment w:val="cente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bidi="en-US"/>
              </w:rPr>
              <w:t>互联网专线</w:t>
            </w:r>
          </w:p>
        </w:tc>
        <w:tc>
          <w:tcPr>
            <w:tcW w:w="1130"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hint="default" w:asciiTheme="minorEastAsia" w:hAnsiTheme="minorEastAsia" w:eastAsiaTheme="minorEastAsia"/>
                <w:color w:val="auto"/>
                <w:highlight w:val="none"/>
                <w:lang w:val="en-US"/>
              </w:rPr>
            </w:pPr>
            <w:r>
              <w:rPr>
                <w:rFonts w:hint="eastAsia" w:asciiTheme="minorEastAsia" w:hAnsiTheme="minorEastAsia" w:eastAsiaTheme="minorEastAsia"/>
                <w:color w:val="auto"/>
                <w:highlight w:val="none"/>
                <w:lang w:val="en-US" w:eastAsia="zh-CN" w:bidi="en-US"/>
              </w:rPr>
              <w:t>500M,1条</w:t>
            </w:r>
          </w:p>
        </w:tc>
        <w:tc>
          <w:tcPr>
            <w:tcW w:w="1378" w:type="dxa"/>
            <w:tcBorders>
              <w:top w:val="nil"/>
              <w:left w:val="nil"/>
              <w:bottom w:val="single" w:color="auto" w:sz="4" w:space="0"/>
              <w:right w:val="single" w:color="auto" w:sz="4" w:space="0"/>
            </w:tcBorders>
            <w:vAlign w:val="center"/>
          </w:tcPr>
          <w:p>
            <w:pPr>
              <w:widowControl/>
              <w:ind w:left="0" w:leftChars="0" w:firstLine="0" w:firstLineChars="0"/>
              <w:jc w:val="center"/>
              <w:textAlignment w:val="cente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1年</w:t>
            </w:r>
          </w:p>
        </w:tc>
        <w:tc>
          <w:tcPr>
            <w:tcW w:w="2170" w:type="dxa"/>
            <w:vMerge w:val="restart"/>
            <w:tcBorders>
              <w:left w:val="single" w:color="auto" w:sz="4" w:space="0"/>
              <w:right w:val="single" w:color="auto" w:sz="4" w:space="0"/>
            </w:tcBorders>
            <w:vAlign w:val="center"/>
          </w:tcPr>
          <w:p>
            <w:pPr>
              <w:widowControl/>
              <w:ind w:firstLine="0" w:firstLineChars="0"/>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w:t>
            </w:r>
          </w:p>
        </w:tc>
      </w:tr>
      <w:tr>
        <w:tblPrEx>
          <w:tblCellMar>
            <w:top w:w="0" w:type="dxa"/>
            <w:left w:w="108" w:type="dxa"/>
            <w:bottom w:w="0" w:type="dxa"/>
            <w:right w:w="108" w:type="dxa"/>
          </w:tblCellMar>
        </w:tblPrEx>
        <w:trPr>
          <w:trHeight w:val="20" w:hRule="atLeast"/>
        </w:trPr>
        <w:tc>
          <w:tcPr>
            <w:tcW w:w="959" w:type="dxa"/>
            <w:tcBorders>
              <w:top w:val="nil"/>
              <w:left w:val="single" w:color="auto" w:sz="4" w:space="0"/>
              <w:bottom w:val="single" w:color="auto" w:sz="4" w:space="0"/>
              <w:right w:val="single" w:color="auto" w:sz="4" w:space="0"/>
            </w:tcBorders>
            <w:vAlign w:val="center"/>
          </w:tcPr>
          <w:p>
            <w:pPr>
              <w:widowControl/>
              <w:ind w:firstLine="199" w:firstLineChars="95"/>
              <w:jc w:val="center"/>
              <w:textAlignment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2835" w:type="dxa"/>
            <w:gridSpan w:val="2"/>
            <w:tcBorders>
              <w:top w:val="nil"/>
              <w:left w:val="nil"/>
              <w:bottom w:val="single" w:color="auto" w:sz="4" w:space="0"/>
              <w:right w:val="single" w:color="auto" w:sz="4" w:space="0"/>
            </w:tcBorders>
            <w:vAlign w:val="center"/>
          </w:tcPr>
          <w:p>
            <w:pPr>
              <w:widowControl/>
              <w:ind w:firstLine="0" w:firstLineChars="0"/>
              <w:jc w:val="center"/>
              <w:textAlignment w:val="cente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bidi="en-US"/>
              </w:rPr>
              <w:t>公网IP地址</w:t>
            </w:r>
          </w:p>
        </w:tc>
        <w:tc>
          <w:tcPr>
            <w:tcW w:w="1130"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hint="default" w:asciiTheme="minorEastAsia" w:hAnsiTheme="minorEastAsia" w:eastAsiaTheme="minorEastAsia"/>
                <w:color w:val="auto"/>
                <w:highlight w:val="none"/>
                <w:lang w:val="en-US"/>
              </w:rPr>
            </w:pPr>
            <w:r>
              <w:rPr>
                <w:rFonts w:hint="eastAsia" w:asciiTheme="minorEastAsia" w:hAnsiTheme="minorEastAsia" w:eastAsiaTheme="minorEastAsia"/>
                <w:color w:val="auto"/>
                <w:highlight w:val="none"/>
                <w:lang w:val="en-US" w:eastAsia="zh-CN" w:bidi="en-US"/>
              </w:rPr>
              <w:t>50个</w:t>
            </w:r>
          </w:p>
        </w:tc>
        <w:tc>
          <w:tcPr>
            <w:tcW w:w="1378" w:type="dxa"/>
            <w:tcBorders>
              <w:top w:val="nil"/>
              <w:left w:val="nil"/>
              <w:bottom w:val="single" w:color="auto" w:sz="4" w:space="0"/>
              <w:right w:val="single" w:color="auto" w:sz="4" w:space="0"/>
            </w:tcBorders>
            <w:vAlign w:val="center"/>
          </w:tcPr>
          <w:p>
            <w:pPr>
              <w:widowControl/>
              <w:ind w:left="0" w:leftChars="0" w:firstLine="0" w:firstLineChars="0"/>
              <w:jc w:val="center"/>
              <w:textAlignment w:val="cente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1年</w:t>
            </w:r>
          </w:p>
        </w:tc>
        <w:tc>
          <w:tcPr>
            <w:tcW w:w="2170" w:type="dxa"/>
            <w:vMerge w:val="continue"/>
            <w:tcBorders>
              <w:left w:val="single" w:color="auto" w:sz="4" w:space="0"/>
              <w:right w:val="single" w:color="auto" w:sz="4" w:space="0"/>
            </w:tcBorders>
            <w:vAlign w:val="center"/>
          </w:tcPr>
          <w:p>
            <w:pPr>
              <w:widowControl/>
              <w:ind w:firstLine="420"/>
              <w:jc w:val="center"/>
              <w:textAlignment w:val="center"/>
              <w:rPr>
                <w:rFonts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20" w:hRule="atLeast"/>
        </w:trPr>
        <w:tc>
          <w:tcPr>
            <w:tcW w:w="2059"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启动服务</w:t>
            </w:r>
            <w:r>
              <w:rPr>
                <w:rFonts w:hint="eastAsia" w:asciiTheme="minorEastAsia" w:hAnsiTheme="minorEastAsia" w:eastAsiaTheme="minorEastAsia"/>
                <w:color w:val="auto"/>
                <w:highlight w:val="none"/>
              </w:rPr>
              <w:t>要求</w:t>
            </w:r>
          </w:p>
        </w:tc>
        <w:tc>
          <w:tcPr>
            <w:tcW w:w="6413"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起10日内完成互联网专线开通工作以及交付公网IP地址</w:t>
            </w:r>
            <w:r>
              <w:rPr>
                <w:rFonts w:hint="eastAsia" w:asciiTheme="minorEastAsia" w:hAnsiTheme="minorEastAsia" w:eastAsiaTheme="minorEastAsia"/>
                <w:color w:val="auto"/>
                <w:highlight w:val="none"/>
              </w:rPr>
              <w:t>。</w:t>
            </w:r>
          </w:p>
        </w:tc>
      </w:tr>
      <w:tr>
        <w:tblPrEx>
          <w:tblCellMar>
            <w:top w:w="0" w:type="dxa"/>
            <w:left w:w="108" w:type="dxa"/>
            <w:bottom w:w="0" w:type="dxa"/>
            <w:right w:w="108" w:type="dxa"/>
          </w:tblCellMar>
        </w:tblPrEx>
        <w:trPr>
          <w:trHeight w:val="20" w:hRule="atLeast"/>
        </w:trPr>
        <w:tc>
          <w:tcPr>
            <w:tcW w:w="2059"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★服务要求</w:t>
            </w:r>
          </w:p>
        </w:tc>
        <w:tc>
          <w:tcPr>
            <w:tcW w:w="6413" w:type="dxa"/>
            <w:gridSpan w:val="4"/>
            <w:tcBorders>
              <w:top w:val="single" w:color="auto" w:sz="4" w:space="0"/>
              <w:left w:val="single" w:color="auto" w:sz="4" w:space="0"/>
              <w:bottom w:val="single" w:color="auto" w:sz="4" w:space="0"/>
              <w:right w:val="single" w:color="auto" w:sz="4" w:space="0"/>
            </w:tcBorders>
            <w:vAlign w:val="center"/>
          </w:tcPr>
          <w:p>
            <w:pPr>
              <w:pStyle w:val="23"/>
              <w:widowControl/>
              <w:numPr>
                <w:ilvl w:val="0"/>
                <w:numId w:val="4"/>
              </w:numPr>
              <w:ind w:firstLine="0" w:firstLineChars="0"/>
              <w:textAlignment w:val="center"/>
              <w:rPr>
                <w:rFonts w:hint="eastAsia"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服务范围：</w:t>
            </w:r>
            <w:r>
              <w:rPr>
                <w:rFonts w:hint="eastAsia" w:asciiTheme="minorEastAsia" w:hAnsiTheme="minorEastAsia" w:eastAsiaTheme="minorEastAsia"/>
                <w:color w:val="auto"/>
                <w:highlight w:val="none"/>
                <w:lang w:val="en-US" w:eastAsia="zh-CN" w:bidi="en-US"/>
              </w:rPr>
              <w:t>500M互联网专线以及50个公网IP地址</w:t>
            </w:r>
            <w:r>
              <w:rPr>
                <w:rFonts w:hint="eastAsia" w:cs="宋体" w:asciiTheme="minorEastAsia" w:hAnsiTheme="minorEastAsia" w:eastAsiaTheme="minorEastAsia"/>
                <w:color w:val="auto"/>
                <w:highlight w:val="none"/>
                <w:lang w:val="zh-CN"/>
              </w:rPr>
              <w:t>。</w:t>
            </w:r>
          </w:p>
          <w:p>
            <w:pPr>
              <w:pStyle w:val="23"/>
              <w:widowControl/>
              <w:numPr>
                <w:ilvl w:val="0"/>
                <w:numId w:val="4"/>
              </w:numPr>
              <w:ind w:firstLine="0" w:firstLineChars="0"/>
              <w:textAlignment w:val="center"/>
              <w:rPr>
                <w:rFonts w:hint="eastAsia"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合同履行期：</w:t>
            </w: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起1年</w:t>
            </w:r>
            <w:r>
              <w:rPr>
                <w:rFonts w:hint="eastAsia" w:cs="宋体" w:asciiTheme="minorEastAsia" w:hAnsiTheme="minorEastAsia" w:eastAsiaTheme="minorEastAsia"/>
                <w:color w:val="auto"/>
                <w:highlight w:val="none"/>
                <w:lang w:val="zh-CN"/>
              </w:rPr>
              <w:t>。</w:t>
            </w:r>
          </w:p>
          <w:p>
            <w:pPr>
              <w:pStyle w:val="23"/>
              <w:widowControl/>
              <w:numPr>
                <w:ilvl w:val="0"/>
                <w:numId w:val="4"/>
              </w:numPr>
              <w:ind w:firstLine="0" w:firstLineChars="0"/>
              <w:textAlignment w:val="center"/>
              <w:rPr>
                <w:rFonts w:cs="仿宋"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zh-CN"/>
              </w:rPr>
              <w:t>成果交付日期：</w:t>
            </w: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起10日内完成互联网专线开通工作以及交付公网IP地址</w:t>
            </w:r>
            <w:r>
              <w:rPr>
                <w:rFonts w:hint="eastAsia" w:cs="宋体" w:asciiTheme="minorEastAsia" w:hAnsiTheme="minorEastAsia" w:eastAsiaTheme="minorEastAsia"/>
                <w:color w:val="auto"/>
                <w:highlight w:val="none"/>
                <w:lang w:val="zh-CN"/>
              </w:rPr>
              <w:t>。</w:t>
            </w:r>
          </w:p>
          <w:p>
            <w:pPr>
              <w:pStyle w:val="23"/>
              <w:widowControl/>
              <w:numPr>
                <w:ilvl w:val="0"/>
                <w:numId w:val="4"/>
              </w:numPr>
              <w:ind w:firstLine="0" w:firstLineChars="0"/>
              <w:textAlignment w:val="center"/>
              <w:rPr>
                <w:rFonts w:cs="仿宋"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en-US" w:eastAsia="zh-CN"/>
              </w:rPr>
              <w:t>服务响应要求：服务</w:t>
            </w:r>
            <w:r>
              <w:rPr>
                <w:rFonts w:hint="eastAsia" w:cs="宋体" w:asciiTheme="minorEastAsia" w:hAnsiTheme="minorEastAsia" w:eastAsiaTheme="minorEastAsia"/>
                <w:color w:val="auto"/>
                <w:highlight w:val="none"/>
                <w:lang w:val="zh-CN"/>
              </w:rPr>
              <w:t>期内，</w:t>
            </w:r>
            <w:r>
              <w:rPr>
                <w:rFonts w:hint="eastAsia" w:cs="宋体" w:asciiTheme="minorEastAsia" w:hAnsiTheme="minorEastAsia" w:eastAsiaTheme="minorEastAsia"/>
                <w:color w:val="auto"/>
                <w:highlight w:val="none"/>
                <w:u w:val="none"/>
                <w:lang w:val="zh-CN"/>
              </w:rPr>
              <w:t xml:space="preserve"> </w:t>
            </w:r>
            <w:r>
              <w:rPr>
                <w:rFonts w:hint="eastAsia" w:cs="宋体" w:asciiTheme="minorEastAsia" w:hAnsiTheme="minorEastAsia" w:eastAsiaTheme="minorEastAsia"/>
                <w:color w:val="auto"/>
                <w:highlight w:val="none"/>
                <w:u w:val="none"/>
                <w:lang w:val="en-US" w:eastAsia="zh-CN"/>
              </w:rPr>
              <w:t>至多0.5</w:t>
            </w:r>
            <w:r>
              <w:rPr>
                <w:rFonts w:hint="eastAsia" w:cs="宋体" w:asciiTheme="minorEastAsia" w:hAnsiTheme="minorEastAsia" w:eastAsiaTheme="minorEastAsia"/>
                <w:color w:val="auto"/>
                <w:highlight w:val="none"/>
                <w:u w:val="none"/>
                <w:lang w:val="zh-CN"/>
              </w:rPr>
              <w:t>小时</w:t>
            </w:r>
            <w:r>
              <w:rPr>
                <w:rFonts w:hint="eastAsia" w:cs="宋体" w:asciiTheme="minorEastAsia" w:hAnsiTheme="minorEastAsia" w:eastAsiaTheme="minorEastAsia"/>
                <w:color w:val="auto"/>
                <w:highlight w:val="none"/>
                <w:u w:val="none"/>
                <w:lang w:val="en-US" w:eastAsia="zh-CN"/>
              </w:rPr>
              <w:t>内</w:t>
            </w:r>
            <w:r>
              <w:rPr>
                <w:rFonts w:hint="eastAsia" w:cs="宋体" w:asciiTheme="minorEastAsia" w:hAnsiTheme="minorEastAsia" w:eastAsiaTheme="minorEastAsia"/>
                <w:color w:val="auto"/>
                <w:highlight w:val="none"/>
                <w:u w:val="none"/>
                <w:lang w:val="zh-CN"/>
              </w:rPr>
              <w:t>响应，</w:t>
            </w:r>
            <w:r>
              <w:rPr>
                <w:rFonts w:hint="eastAsia" w:cs="宋体" w:asciiTheme="minorEastAsia" w:hAnsiTheme="minorEastAsia" w:eastAsiaTheme="minorEastAsia"/>
                <w:color w:val="auto"/>
                <w:highlight w:val="none"/>
                <w:u w:val="none"/>
                <w:lang w:val="en-US" w:eastAsia="zh-CN"/>
              </w:rPr>
              <w:t>至多2</w:t>
            </w:r>
            <w:r>
              <w:rPr>
                <w:rFonts w:hint="eastAsia" w:cs="宋体" w:asciiTheme="minorEastAsia" w:hAnsiTheme="minorEastAsia" w:eastAsiaTheme="minorEastAsia"/>
                <w:color w:val="auto"/>
                <w:highlight w:val="none"/>
                <w:u w:val="none"/>
                <w:lang w:val="zh-CN"/>
              </w:rPr>
              <w:t xml:space="preserve"> 小时</w:t>
            </w:r>
            <w:r>
              <w:rPr>
                <w:rFonts w:hint="eastAsia" w:cs="宋体" w:asciiTheme="minorEastAsia" w:hAnsiTheme="minorEastAsia" w:eastAsiaTheme="minorEastAsia"/>
                <w:color w:val="auto"/>
                <w:highlight w:val="none"/>
                <w:u w:val="none"/>
                <w:lang w:val="en-US" w:eastAsia="zh-CN"/>
              </w:rPr>
              <w:t>内</w:t>
            </w:r>
            <w:r>
              <w:rPr>
                <w:rFonts w:hint="eastAsia" w:cs="宋体" w:asciiTheme="minorEastAsia" w:hAnsiTheme="minorEastAsia" w:eastAsiaTheme="minorEastAsia"/>
                <w:color w:val="auto"/>
                <w:highlight w:val="none"/>
                <w:u w:val="none"/>
                <w:lang w:val="zh-CN"/>
              </w:rPr>
              <w:t>解决</w:t>
            </w:r>
            <w:r>
              <w:rPr>
                <w:rFonts w:hint="eastAsia" w:cs="宋体" w:asciiTheme="minorEastAsia" w:hAnsiTheme="minorEastAsia" w:eastAsiaTheme="minorEastAsia"/>
                <w:color w:val="auto"/>
                <w:highlight w:val="none"/>
                <w:lang w:val="zh-CN"/>
              </w:rPr>
              <w:t>。</w:t>
            </w:r>
          </w:p>
          <w:p>
            <w:pPr>
              <w:pStyle w:val="23"/>
              <w:widowControl/>
              <w:numPr>
                <w:ilvl w:val="0"/>
                <w:numId w:val="4"/>
              </w:numPr>
              <w:ind w:firstLine="0" w:firstLineChars="0"/>
              <w:textAlignment w:val="center"/>
              <w:rPr>
                <w:rFonts w:cs="仿宋"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en-US" w:eastAsia="zh-CN"/>
              </w:rPr>
              <w:t>服务质量要求：500M带宽上下行对等，误码秒≤6个/2小时，误码率≤10E-7</w:t>
            </w:r>
          </w:p>
        </w:tc>
      </w:tr>
    </w:tbl>
    <w:p>
      <w:pPr>
        <w:pStyle w:val="21"/>
        <w:numPr>
          <w:ilvl w:val="0"/>
          <w:numId w:val="0"/>
        </w:numPr>
        <w:rPr>
          <w:rFonts w:hint="eastAsia"/>
          <w:color w:val="auto"/>
          <w:highlight w:val="none"/>
        </w:rPr>
      </w:pP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二</w:t>
      </w:r>
      <w:r>
        <w:rPr>
          <w:rFonts w:hint="eastAsia" w:asciiTheme="minorEastAsia" w:hAnsiTheme="minorEastAsia" w:eastAsiaTheme="minorEastAsia"/>
          <w:b/>
          <w:color w:val="auto"/>
          <w:highlight w:val="none"/>
        </w:rPr>
        <w:t>、付款方式</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1、</w:t>
      </w:r>
      <w:r>
        <w:rPr>
          <w:rFonts w:hint="eastAsia" w:cs="宋体" w:asciiTheme="minorEastAsia" w:hAnsiTheme="minorEastAsia" w:eastAsiaTheme="minorEastAsia"/>
          <w:color w:val="auto"/>
          <w:highlight w:val="none"/>
          <w:lang w:val="zh-CN"/>
        </w:rPr>
        <w:t>合同</w:t>
      </w:r>
      <w:r>
        <w:rPr>
          <w:rFonts w:hint="eastAsia" w:cs="仿宋" w:asciiTheme="minorEastAsia" w:hAnsiTheme="minorEastAsia" w:eastAsiaTheme="minorEastAsia"/>
          <w:color w:val="auto"/>
          <w:highlight w:val="none"/>
        </w:rPr>
        <w:t>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30日内</w:t>
      </w:r>
      <w:r>
        <w:rPr>
          <w:rFonts w:asciiTheme="minorEastAsia" w:hAnsiTheme="minorEastAsia" w:eastAsiaTheme="minorEastAsia"/>
          <w:color w:val="auto"/>
          <w:highlight w:val="none"/>
        </w:rPr>
        <w:t>采购人向成交供应商支付合同款的</w:t>
      </w:r>
      <w:r>
        <w:rPr>
          <w:rFonts w:hint="eastAsia" w:asciiTheme="minorEastAsia" w:hAnsiTheme="minorEastAsia" w:eastAsiaTheme="minorEastAsia"/>
          <w:color w:val="auto"/>
          <w:highlight w:val="none"/>
          <w:lang w:val="en-US" w:eastAsia="zh-CN"/>
        </w:rPr>
        <w:t>5</w:t>
      </w:r>
      <w:r>
        <w:rPr>
          <w:rFonts w:asciiTheme="minorEastAsia" w:hAnsiTheme="minorEastAsia" w:eastAsiaTheme="minorEastAsia"/>
          <w:color w:val="auto"/>
          <w:highlight w:val="none"/>
        </w:rPr>
        <w:t>0%；</w:t>
      </w:r>
    </w:p>
    <w:p>
      <w:pPr>
        <w:ind w:firstLine="420"/>
        <w:rPr>
          <w:rFonts w:hint="eastAsia" w:cs="仿宋" w:asciiTheme="minorEastAsia" w:hAnsiTheme="minorEastAsia" w:eastAsiaTheme="minorEastAsia"/>
          <w:color w:val="auto"/>
          <w:kern w:val="2"/>
          <w:sz w:val="21"/>
          <w:szCs w:val="21"/>
          <w:highlight w:val="none"/>
          <w:lang w:val="en-US" w:eastAsia="zh-CN" w:bidi="ar-SA"/>
        </w:rPr>
      </w:pPr>
      <w:r>
        <w:rPr>
          <w:rFonts w:hint="eastAsia" w:cs="仿宋" w:asciiTheme="minorEastAsia" w:hAnsiTheme="minorEastAsia" w:eastAsiaTheme="minorEastAsia"/>
          <w:color w:val="auto"/>
          <w:kern w:val="2"/>
          <w:sz w:val="21"/>
          <w:szCs w:val="21"/>
          <w:highlight w:val="none"/>
          <w:lang w:val="en-US" w:eastAsia="zh-CN" w:bidi="ar-SA"/>
        </w:rPr>
        <w:t>2、</w:t>
      </w:r>
      <w:r>
        <w:rPr>
          <w:rFonts w:hint="eastAsia" w:cs="宋体" w:asciiTheme="minorEastAsia" w:hAnsiTheme="minorEastAsia" w:eastAsiaTheme="minorEastAsia"/>
          <w:color w:val="auto"/>
          <w:highlight w:val="none"/>
          <w:lang w:val="zh-CN"/>
        </w:rPr>
        <w:t>合同履行期</w:t>
      </w:r>
      <w:r>
        <w:rPr>
          <w:rFonts w:hint="eastAsia" w:cs="宋体" w:asciiTheme="minorEastAsia" w:hAnsiTheme="minorEastAsia" w:eastAsiaTheme="minorEastAsia"/>
          <w:color w:val="auto"/>
          <w:highlight w:val="none"/>
          <w:lang w:val="en-US" w:eastAsia="zh-CN"/>
        </w:rPr>
        <w:t>结束后，30日内</w:t>
      </w:r>
      <w:r>
        <w:rPr>
          <w:rFonts w:asciiTheme="minorEastAsia" w:hAnsiTheme="minorEastAsia" w:eastAsiaTheme="minorEastAsia"/>
          <w:color w:val="auto"/>
          <w:highlight w:val="none"/>
        </w:rPr>
        <w:t>采购人向成交供应商支付合同款的</w:t>
      </w:r>
      <w:r>
        <w:rPr>
          <w:rFonts w:hint="eastAsia" w:asciiTheme="minorEastAsia" w:hAnsiTheme="minorEastAsia" w:eastAsiaTheme="minorEastAsia"/>
          <w:color w:val="auto"/>
          <w:highlight w:val="none"/>
          <w:lang w:val="en-US" w:eastAsia="zh-CN"/>
        </w:rPr>
        <w:t>5</w:t>
      </w:r>
      <w:r>
        <w:rPr>
          <w:rFonts w:asciiTheme="minorEastAsia" w:hAnsiTheme="minorEastAsia" w:eastAsiaTheme="minorEastAsia"/>
          <w:color w:val="auto"/>
          <w:highlight w:val="none"/>
        </w:rPr>
        <w:t>0%</w:t>
      </w:r>
      <w:r>
        <w:rPr>
          <w:rFonts w:hint="eastAsia" w:asciiTheme="minorEastAsia" w:hAnsiTheme="minorEastAsia" w:eastAsiaTheme="minorEastAsia"/>
          <w:color w:val="auto"/>
          <w:highlight w:val="none"/>
          <w:lang w:eastAsia="zh-CN"/>
        </w:rPr>
        <w:t>；</w:t>
      </w:r>
    </w:p>
    <w:p>
      <w:pPr>
        <w:ind w:left="0" w:leftChars="0" w:firstLine="0" w:firstLineChars="0"/>
        <w:rPr>
          <w:rFonts w:hint="eastAsia" w:asciiTheme="minorEastAsia" w:hAnsiTheme="minorEastAsia" w:eastAsiaTheme="minorEastAsia"/>
          <w:color w:val="auto"/>
          <w:highlight w:val="none"/>
        </w:rPr>
      </w:pPr>
    </w:p>
    <w:p>
      <w:pPr>
        <w:rPr>
          <w:rFonts w:asciiTheme="minorEastAsia" w:hAnsiTheme="minorEastAsia" w:eastAsiaTheme="minorEastAsia"/>
          <w:color w:val="auto"/>
          <w:highlight w:val="none"/>
        </w:rPr>
      </w:pPr>
      <w:bookmarkStart w:id="85" w:name="_Toc83732592"/>
      <w:r>
        <w:rPr>
          <w:rFonts w:asciiTheme="minorEastAsia" w:hAnsiTheme="minorEastAsia" w:eastAsiaTheme="minorEastAsia"/>
          <w:color w:val="auto"/>
          <w:highlight w:val="none"/>
        </w:rPr>
        <w:br w:type="page"/>
      </w:r>
    </w:p>
    <w:p>
      <w:pPr>
        <w:pStyle w:val="7"/>
        <w:rPr>
          <w:rFonts w:asciiTheme="minorEastAsia" w:hAnsiTheme="minorEastAsia" w:eastAsiaTheme="minorEastAsia"/>
          <w:color w:val="auto"/>
          <w:highlight w:val="none"/>
        </w:rPr>
      </w:pPr>
      <w:r>
        <w:rPr>
          <w:rFonts w:asciiTheme="minorEastAsia" w:hAnsiTheme="minorEastAsia" w:eastAsiaTheme="minorEastAsia"/>
          <w:color w:val="auto"/>
          <w:highlight w:val="none"/>
        </w:rPr>
        <w:t>第四章</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评审</w:t>
      </w:r>
      <w:bookmarkStart w:id="86" w:name="_Toc477283129"/>
      <w:bookmarkStart w:id="87" w:name="_Toc478628934"/>
      <w:r>
        <w:rPr>
          <w:rFonts w:hint="eastAsia" w:asciiTheme="minorEastAsia" w:hAnsiTheme="minorEastAsia" w:eastAsiaTheme="minorEastAsia"/>
          <w:color w:val="auto"/>
          <w:highlight w:val="none"/>
        </w:rPr>
        <w:t>办法</w:t>
      </w:r>
      <w:bookmarkEnd w:id="85"/>
    </w:p>
    <w:p>
      <w:pPr>
        <w:ind w:firstLine="422"/>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一、</w:t>
      </w:r>
      <w:bookmarkEnd w:id="86"/>
      <w:r>
        <w:rPr>
          <w:rFonts w:asciiTheme="minorEastAsia" w:hAnsiTheme="minorEastAsia" w:eastAsiaTheme="minorEastAsia"/>
          <w:b/>
          <w:color w:val="auto"/>
          <w:highlight w:val="none"/>
        </w:rPr>
        <w:t>资格性和符合性审查标准</w:t>
      </w:r>
      <w:bookmarkEnd w:id="87"/>
    </w:p>
    <w:tbl>
      <w:tblPr>
        <w:tblStyle w:val="34"/>
        <w:tblW w:w="8267" w:type="dxa"/>
        <w:tblInd w:w="-176" w:type="dxa"/>
        <w:tblLayout w:type="fixed"/>
        <w:tblCellMar>
          <w:top w:w="57" w:type="dxa"/>
          <w:left w:w="108" w:type="dxa"/>
          <w:bottom w:w="57" w:type="dxa"/>
          <w:right w:w="108" w:type="dxa"/>
        </w:tblCellMar>
      </w:tblPr>
      <w:tblGrid>
        <w:gridCol w:w="765"/>
        <w:gridCol w:w="7502"/>
      </w:tblGrid>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150"/>
              <w:spacing w:line="220" w:lineRule="exact"/>
              <w:jc w:val="center"/>
              <w:rPr>
                <w:rFonts w:cs="仿宋" w:asciiTheme="minorEastAsia" w:hAnsiTheme="minorEastAsia" w:eastAsiaTheme="minorEastAsia"/>
                <w:b/>
                <w:color w:val="auto"/>
                <w:kern w:val="2"/>
                <w:sz w:val="18"/>
                <w:szCs w:val="21"/>
                <w:highlight w:val="none"/>
                <w:lang w:val="en-US"/>
              </w:rPr>
            </w:pPr>
            <w:r>
              <w:rPr>
                <w:rFonts w:hint="eastAsia" w:cs="仿宋" w:asciiTheme="minorEastAsia" w:hAnsiTheme="minorEastAsia" w:eastAsiaTheme="minorEastAsia"/>
                <w:b/>
                <w:color w:val="auto"/>
                <w:kern w:val="2"/>
                <w:sz w:val="18"/>
                <w:szCs w:val="21"/>
                <w:highlight w:val="none"/>
                <w:lang w:val="en-US"/>
              </w:rPr>
              <w:t>序号</w:t>
            </w:r>
          </w:p>
        </w:tc>
        <w:tc>
          <w:tcPr>
            <w:tcW w:w="750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150"/>
              <w:spacing w:line="220" w:lineRule="exact"/>
              <w:jc w:val="center"/>
              <w:rPr>
                <w:rFonts w:cs="仿宋" w:asciiTheme="minorEastAsia" w:hAnsiTheme="minorEastAsia" w:eastAsiaTheme="minorEastAsia"/>
                <w:b/>
                <w:color w:val="auto"/>
                <w:kern w:val="2"/>
                <w:sz w:val="18"/>
                <w:szCs w:val="21"/>
                <w:highlight w:val="none"/>
                <w:lang w:val="en-US"/>
              </w:rPr>
            </w:pPr>
            <w:r>
              <w:rPr>
                <w:rFonts w:hint="eastAsia" w:cs="仿宋" w:asciiTheme="minorEastAsia" w:hAnsiTheme="minorEastAsia" w:eastAsiaTheme="minorEastAsia"/>
                <w:b/>
                <w:color w:val="auto"/>
                <w:kern w:val="2"/>
                <w:sz w:val="18"/>
                <w:szCs w:val="21"/>
                <w:highlight w:val="none"/>
                <w:lang w:val="en-US"/>
              </w:rPr>
              <w:t>资格性审核内容</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cs="仿宋" w:asciiTheme="minorEastAsia" w:hAnsiTheme="minorEastAsia" w:eastAsiaTheme="minorEastAsia"/>
                <w:color w:val="auto"/>
                <w:kern w:val="2"/>
                <w:sz w:val="18"/>
                <w:szCs w:val="21"/>
                <w:highlight w:val="none"/>
                <w:lang w:val="en-US"/>
              </w:rPr>
              <w:t>1</w:t>
            </w:r>
          </w:p>
        </w:tc>
        <w:tc>
          <w:tcPr>
            <w:tcW w:w="7502" w:type="dxa"/>
            <w:tcBorders>
              <w:top w:val="single" w:color="auto" w:sz="4" w:space="0"/>
              <w:left w:val="single" w:color="auto" w:sz="4" w:space="0"/>
              <w:bottom w:val="single" w:color="auto" w:sz="4" w:space="0"/>
              <w:right w:val="single" w:color="auto" w:sz="4" w:space="0"/>
            </w:tcBorders>
          </w:tcPr>
          <w:p>
            <w:pPr>
              <w:pStyle w:val="150"/>
              <w:spacing w:line="220" w:lineRule="exact"/>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w:t>
            </w:r>
            <w:r>
              <w:rPr>
                <w:rFonts w:cs="仿宋" w:asciiTheme="minorEastAsia" w:hAnsiTheme="minorEastAsia" w:eastAsiaTheme="minorEastAsia"/>
                <w:color w:val="auto"/>
                <w:kern w:val="2"/>
                <w:sz w:val="18"/>
                <w:szCs w:val="21"/>
                <w:highlight w:val="none"/>
                <w:lang w:val="en-US"/>
              </w:rPr>
              <w:t>1）具有独立承担民事责任的能力；</w:t>
            </w:r>
          </w:p>
          <w:p>
            <w:pPr>
              <w:pStyle w:val="150"/>
              <w:spacing w:line="220" w:lineRule="exact"/>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w:t>
            </w:r>
            <w:r>
              <w:rPr>
                <w:rFonts w:hint="eastAsia" w:cs="仿宋" w:asciiTheme="minorEastAsia" w:hAnsiTheme="minorEastAsia" w:eastAsiaTheme="minorEastAsia"/>
                <w:color w:val="auto"/>
                <w:kern w:val="2"/>
                <w:sz w:val="18"/>
                <w:szCs w:val="21"/>
                <w:highlight w:val="none"/>
                <w:lang w:val="en-US" w:eastAsia="zh-CN"/>
              </w:rPr>
              <w:t>2</w:t>
            </w:r>
            <w:r>
              <w:rPr>
                <w:rFonts w:cs="仿宋" w:asciiTheme="minorEastAsia" w:hAnsiTheme="minorEastAsia" w:eastAsiaTheme="minorEastAsia"/>
                <w:color w:val="auto"/>
                <w:kern w:val="2"/>
                <w:sz w:val="18"/>
                <w:szCs w:val="21"/>
                <w:highlight w:val="none"/>
                <w:lang w:val="en-US"/>
              </w:rPr>
              <w:t>）具有履行合同所必需的设备和专业技术能力；</w:t>
            </w:r>
          </w:p>
          <w:p>
            <w:pPr>
              <w:pStyle w:val="150"/>
              <w:spacing w:line="220" w:lineRule="exact"/>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w:t>
            </w:r>
            <w:r>
              <w:rPr>
                <w:rFonts w:hint="eastAsia" w:cs="仿宋" w:asciiTheme="minorEastAsia" w:hAnsiTheme="minorEastAsia" w:eastAsiaTheme="minorEastAsia"/>
                <w:color w:val="auto"/>
                <w:kern w:val="2"/>
                <w:sz w:val="18"/>
                <w:szCs w:val="21"/>
                <w:highlight w:val="none"/>
                <w:lang w:val="en-US" w:eastAsia="zh-CN"/>
              </w:rPr>
              <w:t>3</w:t>
            </w:r>
            <w:r>
              <w:rPr>
                <w:rFonts w:cs="仿宋" w:asciiTheme="minorEastAsia" w:hAnsiTheme="minorEastAsia" w:eastAsiaTheme="minorEastAsia"/>
                <w:color w:val="auto"/>
                <w:kern w:val="2"/>
                <w:sz w:val="18"/>
                <w:szCs w:val="21"/>
                <w:highlight w:val="none"/>
                <w:lang w:val="en-US"/>
              </w:rPr>
              <w:t>）参加政府采购活动前三年内，在经营活动中没有重大违法记录；</w:t>
            </w:r>
          </w:p>
          <w:p>
            <w:pPr>
              <w:spacing w:line="220" w:lineRule="exact"/>
              <w:ind w:firstLine="0" w:firstLineChars="0"/>
              <w:rPr>
                <w:rFonts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w:t>
            </w:r>
            <w:r>
              <w:rPr>
                <w:rFonts w:hint="eastAsia" w:asciiTheme="minorEastAsia" w:hAnsiTheme="minorEastAsia" w:eastAsiaTheme="minorEastAsia"/>
                <w:color w:val="auto"/>
                <w:sz w:val="18"/>
                <w:highlight w:val="none"/>
                <w:lang w:val="en-US" w:eastAsia="zh-CN"/>
              </w:rPr>
              <w:t>4</w:t>
            </w:r>
            <w:r>
              <w:rPr>
                <w:rFonts w:asciiTheme="minorEastAsia" w:hAnsiTheme="minorEastAsia" w:eastAsiaTheme="minorEastAsia"/>
                <w:color w:val="auto"/>
                <w:sz w:val="18"/>
                <w:highlight w:val="none"/>
              </w:rPr>
              <w:t>）法律、行政法规规定的其他条件。</w:t>
            </w:r>
          </w:p>
          <w:p>
            <w:pPr>
              <w:spacing w:line="220" w:lineRule="exact"/>
              <w:ind w:firstLine="0" w:firstLineChars="0"/>
              <w:rPr>
                <w:rFonts w:asciiTheme="minorEastAsia" w:hAnsiTheme="minorEastAsia" w:eastAsiaTheme="minorEastAsia"/>
                <w:b/>
                <w:color w:val="auto"/>
                <w:sz w:val="18"/>
                <w:highlight w:val="none"/>
              </w:rPr>
            </w:pPr>
            <w:r>
              <w:rPr>
                <w:rFonts w:hint="eastAsia" w:asciiTheme="minorEastAsia" w:hAnsiTheme="minorEastAsia" w:eastAsiaTheme="minorEastAsia"/>
                <w:b/>
                <w:color w:val="auto"/>
                <w:sz w:val="18"/>
                <w:highlight w:val="none"/>
              </w:rPr>
              <w:t>（其中第（</w:t>
            </w:r>
            <w:r>
              <w:rPr>
                <w:rFonts w:asciiTheme="minorEastAsia" w:hAnsiTheme="minorEastAsia" w:eastAsiaTheme="minorEastAsia"/>
                <w:b/>
                <w:color w:val="auto"/>
                <w:sz w:val="18"/>
                <w:highlight w:val="none"/>
              </w:rPr>
              <w:t>1）款提供有效的法人营业执照、税务登记证、组织机构代码证（或三证合一）；。第（</w:t>
            </w:r>
            <w:r>
              <w:rPr>
                <w:rFonts w:hint="eastAsia" w:asciiTheme="minorEastAsia" w:hAnsiTheme="minorEastAsia" w:eastAsiaTheme="minorEastAsia"/>
                <w:b/>
                <w:color w:val="auto"/>
                <w:sz w:val="18"/>
                <w:highlight w:val="none"/>
                <w:lang w:val="en-US" w:eastAsia="zh-CN"/>
              </w:rPr>
              <w:t>2</w:t>
            </w:r>
            <w:r>
              <w:rPr>
                <w:rFonts w:asciiTheme="minorEastAsia" w:hAnsiTheme="minorEastAsia" w:eastAsiaTheme="minorEastAsia"/>
                <w:b/>
                <w:color w:val="auto"/>
                <w:sz w:val="18"/>
                <w:highlight w:val="none"/>
              </w:rPr>
              <w:t>）款提供承诺。第（</w:t>
            </w:r>
            <w:r>
              <w:rPr>
                <w:rFonts w:hint="eastAsia" w:asciiTheme="minorEastAsia" w:hAnsiTheme="minorEastAsia" w:eastAsiaTheme="minorEastAsia"/>
                <w:b/>
                <w:color w:val="auto"/>
                <w:sz w:val="18"/>
                <w:highlight w:val="none"/>
                <w:lang w:val="en-US" w:eastAsia="zh-CN"/>
              </w:rPr>
              <w:t>3</w:t>
            </w:r>
            <w:r>
              <w:rPr>
                <w:rFonts w:asciiTheme="minorEastAsia" w:hAnsiTheme="minorEastAsia" w:eastAsiaTheme="minorEastAsia"/>
                <w:b/>
                <w:color w:val="auto"/>
                <w:sz w:val="18"/>
                <w:highlight w:val="none"/>
              </w:rPr>
              <w:t>）</w:t>
            </w:r>
            <w:r>
              <w:rPr>
                <w:rFonts w:hint="eastAsia" w:asciiTheme="minorEastAsia" w:hAnsiTheme="minorEastAsia" w:eastAsiaTheme="minorEastAsia"/>
                <w:b/>
                <w:color w:val="auto"/>
                <w:sz w:val="18"/>
                <w:highlight w:val="none"/>
              </w:rPr>
              <w:t>款提供声明函。第</w:t>
            </w:r>
            <w:r>
              <w:rPr>
                <w:rFonts w:asciiTheme="minorEastAsia" w:hAnsiTheme="minorEastAsia" w:eastAsiaTheme="minorEastAsia"/>
                <w:b/>
                <w:color w:val="auto"/>
                <w:sz w:val="18"/>
                <w:highlight w:val="none"/>
              </w:rPr>
              <w:t>（</w:t>
            </w:r>
            <w:r>
              <w:rPr>
                <w:rFonts w:hint="eastAsia" w:asciiTheme="minorEastAsia" w:hAnsiTheme="minorEastAsia" w:eastAsiaTheme="minorEastAsia"/>
                <w:b/>
                <w:color w:val="auto"/>
                <w:sz w:val="18"/>
                <w:highlight w:val="none"/>
                <w:lang w:val="en-US" w:eastAsia="zh-CN"/>
              </w:rPr>
              <w:t>4</w:t>
            </w:r>
            <w:r>
              <w:rPr>
                <w:rFonts w:asciiTheme="minorEastAsia" w:hAnsiTheme="minorEastAsia" w:eastAsiaTheme="minorEastAsia"/>
                <w:b/>
                <w:color w:val="auto"/>
                <w:sz w:val="18"/>
                <w:highlight w:val="none"/>
              </w:rPr>
              <w:t>）款提供承诺）</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2</w:t>
            </w:r>
          </w:p>
        </w:tc>
        <w:tc>
          <w:tcPr>
            <w:tcW w:w="7502" w:type="dxa"/>
            <w:tcBorders>
              <w:top w:val="single" w:color="auto" w:sz="4" w:space="0"/>
              <w:left w:val="single" w:color="auto" w:sz="4" w:space="0"/>
              <w:bottom w:val="single" w:color="auto" w:sz="4" w:space="0"/>
              <w:right w:val="single" w:color="auto" w:sz="4" w:space="0"/>
            </w:tcBorders>
          </w:tcPr>
          <w:p>
            <w:pPr>
              <w:spacing w:line="220" w:lineRule="exact"/>
              <w:ind w:firstLine="0" w:firstLineChars="0"/>
              <w:rPr>
                <w:rFonts w:asciiTheme="minorEastAsia" w:hAnsiTheme="minorEastAsia" w:eastAsiaTheme="minorEastAsia"/>
                <w:color w:val="auto"/>
                <w:sz w:val="18"/>
                <w:highlight w:val="none"/>
              </w:rPr>
            </w:pPr>
            <w:r>
              <w:rPr>
                <w:rFonts w:asciiTheme="minorEastAsia" w:hAnsiTheme="minorEastAsia" w:eastAsiaTheme="minorEastAsia"/>
                <w:color w:val="auto"/>
                <w:sz w:val="18"/>
                <w:highlight w:val="none"/>
              </w:rPr>
              <w:t>单位负责人为同一人或者存在直接控股、管理关系的不同供应商，不得参加本项目同一合同项下的政府采购活动。</w:t>
            </w:r>
            <w:r>
              <w:rPr>
                <w:rFonts w:hint="eastAsia" w:asciiTheme="minorEastAsia" w:hAnsiTheme="minorEastAsia" w:eastAsiaTheme="minorEastAsia"/>
                <w:b/>
                <w:color w:val="auto"/>
                <w:sz w:val="18"/>
                <w:highlight w:val="none"/>
              </w:rPr>
              <w:t>（提供承诺）</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hint="eastAsia" w:cs="仿宋" w:asciiTheme="minorEastAsia" w:hAnsiTheme="minorEastAsia" w:eastAsiaTheme="minorEastAsia"/>
                <w:color w:val="auto"/>
                <w:kern w:val="2"/>
                <w:sz w:val="18"/>
                <w:szCs w:val="21"/>
                <w:highlight w:val="none"/>
                <w:lang w:val="en-US" w:eastAsia="zh-CN"/>
              </w:rPr>
            </w:pPr>
            <w:r>
              <w:rPr>
                <w:rFonts w:hint="eastAsia" w:cs="仿宋" w:asciiTheme="minorEastAsia" w:hAnsiTheme="minorEastAsia" w:eastAsiaTheme="minorEastAsia"/>
                <w:color w:val="auto"/>
                <w:kern w:val="2"/>
                <w:sz w:val="18"/>
                <w:szCs w:val="21"/>
                <w:highlight w:val="none"/>
                <w:lang w:val="en-US" w:eastAsia="zh-CN"/>
              </w:rPr>
              <w:t>3</w:t>
            </w:r>
          </w:p>
        </w:tc>
        <w:tc>
          <w:tcPr>
            <w:tcW w:w="7502" w:type="dxa"/>
            <w:tcBorders>
              <w:top w:val="single" w:color="auto" w:sz="4" w:space="0"/>
              <w:left w:val="single" w:color="auto" w:sz="4" w:space="0"/>
              <w:bottom w:val="single" w:color="auto" w:sz="4" w:space="0"/>
              <w:right w:val="single" w:color="auto" w:sz="4" w:space="0"/>
            </w:tcBorders>
          </w:tcPr>
          <w:p>
            <w:pPr>
              <w:spacing w:line="220" w:lineRule="exact"/>
              <w:ind w:firstLine="0" w:firstLineChars="0"/>
              <w:rPr>
                <w:rFonts w:hint="eastAsia" w:asciiTheme="minorEastAsia" w:hAnsiTheme="minorEastAsia" w:eastAsiaTheme="minorEastAsia"/>
                <w:color w:val="auto"/>
                <w:sz w:val="18"/>
                <w:highlight w:val="none"/>
              </w:rPr>
            </w:pPr>
            <w:r>
              <w:rPr>
                <w:rFonts w:asciiTheme="minorEastAsia" w:hAnsiTheme="minorEastAsia" w:eastAsiaTheme="minorEastAsia"/>
                <w:color w:val="auto"/>
                <w:sz w:val="18"/>
                <w:highlight w:val="none"/>
              </w:rPr>
              <w:t>未被“中国执行信息公开网”列入失信被执行人、未被“信用中国”列入重大税收违法案件当事人名单和政府采购严重违法失信行为记录名单。（供应商须自公告发布之日起自行在网上查询，并将查询结果截图加盖公章放入响应文件，以开标当天查询结果为准）。</w:t>
            </w:r>
            <w:r>
              <w:rPr>
                <w:rFonts w:hint="eastAsia" w:asciiTheme="minorEastAsia" w:hAnsiTheme="minorEastAsia" w:eastAsiaTheme="minorEastAsia"/>
                <w:b/>
                <w:color w:val="auto"/>
                <w:sz w:val="18"/>
                <w:highlight w:val="none"/>
              </w:rPr>
              <w:t>（提供《中国执行信息公开网》网站（</w:t>
            </w:r>
            <w:r>
              <w:rPr>
                <w:rFonts w:asciiTheme="minorEastAsia" w:hAnsiTheme="minorEastAsia" w:eastAsiaTheme="minorEastAsia"/>
                <w:b/>
                <w:color w:val="auto"/>
                <w:sz w:val="18"/>
                <w:highlight w:val="none"/>
              </w:rPr>
              <w:t>zxgk.court.gov.cn）上的</w:t>
            </w:r>
            <w:r>
              <w:rPr>
                <w:rFonts w:hint="eastAsia" w:asciiTheme="minorEastAsia" w:hAnsiTheme="minorEastAsia" w:eastAsiaTheme="minorEastAsia"/>
                <w:b/>
                <w:color w:val="auto"/>
                <w:sz w:val="18"/>
                <w:highlight w:val="none"/>
              </w:rPr>
              <w:t>失信被执行人、《信用中国》网站</w:t>
            </w:r>
            <w:r>
              <w:rPr>
                <w:rFonts w:asciiTheme="minorEastAsia" w:hAnsiTheme="minorEastAsia" w:eastAsiaTheme="minorEastAsia"/>
                <w:b/>
                <w:color w:val="auto"/>
                <w:sz w:val="18"/>
                <w:highlight w:val="none"/>
              </w:rPr>
              <w:t>(www.creditchina.gov.cn)</w:t>
            </w:r>
            <w:r>
              <w:rPr>
                <w:rFonts w:hint="eastAsia" w:asciiTheme="minorEastAsia" w:hAnsiTheme="minorEastAsia" w:eastAsiaTheme="minorEastAsia"/>
                <w:b/>
                <w:color w:val="auto"/>
                <w:sz w:val="18"/>
                <w:highlight w:val="none"/>
              </w:rPr>
              <w:t xml:space="preserve"> 重大税收违法案件当事人及政府采购严重违法失信行为记录查询截图。谈判小组以谈判当天查询结果为准）</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hint="eastAsia" w:cs="仿宋" w:asciiTheme="minorEastAsia" w:hAnsiTheme="minorEastAsia" w:eastAsiaTheme="minorEastAsia"/>
                <w:color w:val="auto"/>
                <w:kern w:val="2"/>
                <w:sz w:val="18"/>
                <w:szCs w:val="21"/>
                <w:highlight w:val="none"/>
                <w:lang w:val="en-US" w:eastAsia="zh-CN"/>
              </w:rPr>
            </w:pPr>
            <w:r>
              <w:rPr>
                <w:rFonts w:hint="eastAsia" w:cs="仿宋" w:asciiTheme="minorEastAsia" w:hAnsiTheme="minorEastAsia" w:eastAsiaTheme="minorEastAsia"/>
                <w:color w:val="auto"/>
                <w:kern w:val="2"/>
                <w:sz w:val="18"/>
                <w:szCs w:val="21"/>
                <w:highlight w:val="none"/>
                <w:lang w:val="en-US" w:eastAsia="zh-CN"/>
              </w:rPr>
              <w:t>4</w:t>
            </w:r>
          </w:p>
        </w:tc>
        <w:tc>
          <w:tcPr>
            <w:tcW w:w="7502" w:type="dxa"/>
            <w:tcBorders>
              <w:top w:val="single" w:color="auto" w:sz="4" w:space="0"/>
              <w:left w:val="single" w:color="auto" w:sz="4" w:space="0"/>
              <w:bottom w:val="single" w:color="auto" w:sz="4" w:space="0"/>
              <w:right w:val="single" w:color="auto" w:sz="4" w:space="0"/>
            </w:tcBorders>
          </w:tcPr>
          <w:p>
            <w:pPr>
              <w:spacing w:line="220" w:lineRule="exact"/>
              <w:ind w:firstLine="0" w:firstLineChars="0"/>
              <w:rPr>
                <w:rFonts w:hint="eastAsia" w:asciiTheme="minorEastAsia" w:hAnsiTheme="minorEastAsia" w:eastAsiaTheme="minorEastAsia"/>
                <w:color w:val="auto"/>
                <w:sz w:val="18"/>
                <w:highlight w:val="none"/>
              </w:rPr>
            </w:pPr>
            <w:r>
              <w:rPr>
                <w:rFonts w:asciiTheme="minorEastAsia" w:hAnsiTheme="minorEastAsia" w:eastAsiaTheme="minorEastAsia"/>
                <w:color w:val="auto"/>
                <w:sz w:val="18"/>
                <w:highlight w:val="none"/>
              </w:rPr>
              <w:t>供应商近3年(公告发布之日起往前推)没有行贿犯罪记录，供应商自行在中国裁判文书网“ http://wenshu.court.gov.cn/”查询，并提供网页截图。</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150"/>
              <w:spacing w:line="220" w:lineRule="exact"/>
              <w:jc w:val="center"/>
              <w:rPr>
                <w:rFonts w:cs="仿宋" w:asciiTheme="minorEastAsia" w:hAnsiTheme="minorEastAsia" w:eastAsiaTheme="minorEastAsia"/>
                <w:b/>
                <w:color w:val="auto"/>
                <w:kern w:val="2"/>
                <w:sz w:val="18"/>
                <w:szCs w:val="21"/>
                <w:highlight w:val="none"/>
                <w:lang w:val="en-US"/>
              </w:rPr>
            </w:pPr>
            <w:r>
              <w:rPr>
                <w:rFonts w:hint="eastAsia" w:cs="仿宋" w:asciiTheme="minorEastAsia" w:hAnsiTheme="minorEastAsia" w:eastAsiaTheme="minorEastAsia"/>
                <w:b/>
                <w:color w:val="auto"/>
                <w:kern w:val="2"/>
                <w:sz w:val="18"/>
                <w:szCs w:val="21"/>
                <w:highlight w:val="none"/>
                <w:lang w:val="en-US"/>
              </w:rPr>
              <w:t>序号</w:t>
            </w:r>
          </w:p>
        </w:tc>
        <w:tc>
          <w:tcPr>
            <w:tcW w:w="750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150"/>
              <w:spacing w:line="220" w:lineRule="exact"/>
              <w:jc w:val="center"/>
              <w:rPr>
                <w:rFonts w:cs="仿宋" w:asciiTheme="minorEastAsia" w:hAnsiTheme="minorEastAsia" w:eastAsiaTheme="minorEastAsia"/>
                <w:b/>
                <w:color w:val="auto"/>
                <w:kern w:val="2"/>
                <w:sz w:val="18"/>
                <w:szCs w:val="21"/>
                <w:highlight w:val="none"/>
                <w:lang w:val="en-US"/>
              </w:rPr>
            </w:pPr>
            <w:r>
              <w:rPr>
                <w:rFonts w:hint="eastAsia" w:cs="仿宋" w:asciiTheme="minorEastAsia" w:hAnsiTheme="minorEastAsia" w:eastAsiaTheme="minorEastAsia"/>
                <w:b/>
                <w:color w:val="auto"/>
                <w:kern w:val="2"/>
                <w:sz w:val="18"/>
                <w:szCs w:val="21"/>
                <w:highlight w:val="none"/>
                <w:lang w:val="en-US"/>
              </w:rPr>
              <w:t>符合性审核内容</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1</w:t>
            </w:r>
          </w:p>
        </w:tc>
        <w:tc>
          <w:tcPr>
            <w:tcW w:w="7502" w:type="dxa"/>
            <w:tcBorders>
              <w:top w:val="single" w:color="auto" w:sz="4" w:space="0"/>
              <w:left w:val="single" w:color="auto" w:sz="4" w:space="0"/>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响应文件按照采购文件要求密封、签署、盖章。</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2</w:t>
            </w:r>
          </w:p>
        </w:tc>
        <w:tc>
          <w:tcPr>
            <w:tcW w:w="7502" w:type="dxa"/>
            <w:tcBorders>
              <w:top w:val="single" w:color="auto" w:sz="4" w:space="0"/>
              <w:left w:val="single" w:color="auto" w:sz="4" w:space="0"/>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企业法定代表人有合法有效的证明文件及其身份证明或委托代理人有合法有效的委托书及其身份证明。</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3</w:t>
            </w:r>
          </w:p>
        </w:tc>
        <w:tc>
          <w:tcPr>
            <w:tcW w:w="7502" w:type="dxa"/>
            <w:tcBorders>
              <w:top w:val="single" w:color="auto" w:sz="4" w:space="0"/>
              <w:left w:val="single" w:color="auto" w:sz="4" w:space="0"/>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按照采购文件要求进行报价，报价未超过项目预算金额及项目最高限价。</w:t>
            </w:r>
          </w:p>
        </w:tc>
      </w:tr>
      <w:tr>
        <w:tblPrEx>
          <w:tblCellMar>
            <w:top w:w="57" w:type="dxa"/>
            <w:left w:w="108" w:type="dxa"/>
            <w:bottom w:w="57" w:type="dxa"/>
            <w:right w:w="108" w:type="dxa"/>
          </w:tblCellMar>
        </w:tblPrEx>
        <w:trPr>
          <w:trHeight w:val="113" w:hRule="atLeast"/>
        </w:trPr>
        <w:tc>
          <w:tcPr>
            <w:tcW w:w="765" w:type="dxa"/>
            <w:tcBorders>
              <w:top w:val="nil"/>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4</w:t>
            </w:r>
          </w:p>
        </w:tc>
        <w:tc>
          <w:tcPr>
            <w:tcW w:w="7502" w:type="dxa"/>
            <w:tcBorders>
              <w:top w:val="nil"/>
              <w:left w:val="nil"/>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响应文件有效期（要求见供应商须知）满足采购文件要求。</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5</w:t>
            </w:r>
          </w:p>
        </w:tc>
        <w:tc>
          <w:tcPr>
            <w:tcW w:w="7502" w:type="dxa"/>
            <w:tcBorders>
              <w:top w:val="single" w:color="auto" w:sz="4" w:space="0"/>
              <w:left w:val="nil"/>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响应文件关于合同履行期限（要求见公告）的响应符合采购文件要求。</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6</w:t>
            </w:r>
          </w:p>
        </w:tc>
        <w:tc>
          <w:tcPr>
            <w:tcW w:w="7502" w:type="dxa"/>
            <w:tcBorders>
              <w:top w:val="single" w:color="auto" w:sz="4" w:space="0"/>
              <w:left w:val="nil"/>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响应文件未附有采购人不能接受的条件。</w:t>
            </w:r>
          </w:p>
        </w:tc>
      </w:tr>
      <w:tr>
        <w:tblPrEx>
          <w:tblCellMar>
            <w:top w:w="57" w:type="dxa"/>
            <w:left w:w="108" w:type="dxa"/>
            <w:bottom w:w="57" w:type="dxa"/>
            <w:right w:w="108" w:type="dxa"/>
          </w:tblCellMar>
        </w:tblPrEx>
        <w:trPr>
          <w:trHeight w:val="113" w:hRule="atLeast"/>
        </w:trPr>
        <w:tc>
          <w:tcPr>
            <w:tcW w:w="765" w:type="dxa"/>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color w:val="auto"/>
                <w:kern w:val="2"/>
                <w:sz w:val="18"/>
                <w:szCs w:val="21"/>
                <w:highlight w:val="none"/>
                <w:lang w:val="en-US"/>
              </w:rPr>
            </w:pPr>
            <w:r>
              <w:rPr>
                <w:rFonts w:hint="eastAsia" w:cs="仿宋" w:asciiTheme="minorEastAsia" w:hAnsiTheme="minorEastAsia" w:eastAsiaTheme="minorEastAsia"/>
                <w:color w:val="auto"/>
                <w:kern w:val="2"/>
                <w:sz w:val="18"/>
                <w:szCs w:val="21"/>
                <w:highlight w:val="none"/>
                <w:lang w:val="en-US"/>
              </w:rPr>
              <w:t>7</w:t>
            </w:r>
          </w:p>
        </w:tc>
        <w:tc>
          <w:tcPr>
            <w:tcW w:w="7502" w:type="dxa"/>
            <w:tcBorders>
              <w:top w:val="single" w:color="auto" w:sz="4" w:space="0"/>
              <w:left w:val="nil"/>
              <w:bottom w:val="single" w:color="auto" w:sz="4" w:space="0"/>
              <w:right w:val="single" w:color="auto" w:sz="4" w:space="0"/>
            </w:tcBorders>
            <w:vAlign w:val="center"/>
          </w:tcPr>
          <w:p>
            <w:pPr>
              <w:pStyle w:val="152"/>
              <w:spacing w:line="220" w:lineRule="exact"/>
              <w:jc w:val="both"/>
              <w:rPr>
                <w:rFonts w:cs="仿宋" w:asciiTheme="minorEastAsia" w:hAnsiTheme="minorEastAsia" w:eastAsiaTheme="minorEastAsia"/>
                <w:color w:val="auto"/>
                <w:sz w:val="18"/>
                <w:szCs w:val="21"/>
                <w:highlight w:val="none"/>
                <w:lang w:val="en-US"/>
              </w:rPr>
            </w:pPr>
            <w:r>
              <w:rPr>
                <w:rFonts w:hint="eastAsia" w:cs="仿宋" w:asciiTheme="minorEastAsia" w:hAnsiTheme="minorEastAsia" w:eastAsiaTheme="minorEastAsia"/>
                <w:color w:val="auto"/>
                <w:sz w:val="18"/>
                <w:szCs w:val="21"/>
                <w:highlight w:val="none"/>
                <w:lang w:val="en-US"/>
              </w:rPr>
              <w:t>采购文件规定的其他实质性要求。</w:t>
            </w:r>
          </w:p>
        </w:tc>
      </w:tr>
      <w:tr>
        <w:tblPrEx>
          <w:tblCellMar>
            <w:top w:w="57" w:type="dxa"/>
            <w:left w:w="108" w:type="dxa"/>
            <w:bottom w:w="57" w:type="dxa"/>
            <w:right w:w="108" w:type="dxa"/>
          </w:tblCellMar>
        </w:tblPrEx>
        <w:trPr>
          <w:trHeight w:val="113" w:hRule="atLeast"/>
        </w:trPr>
        <w:tc>
          <w:tcPr>
            <w:tcW w:w="8267" w:type="dxa"/>
            <w:gridSpan w:val="2"/>
            <w:tcBorders>
              <w:top w:val="single" w:color="auto" w:sz="4" w:space="0"/>
              <w:left w:val="single" w:color="auto" w:sz="4" w:space="0"/>
              <w:bottom w:val="single" w:color="auto" w:sz="4" w:space="0"/>
              <w:right w:val="single" w:color="auto" w:sz="4" w:space="0"/>
            </w:tcBorders>
            <w:vAlign w:val="center"/>
          </w:tcPr>
          <w:p>
            <w:pPr>
              <w:pStyle w:val="150"/>
              <w:spacing w:line="220" w:lineRule="exact"/>
              <w:jc w:val="center"/>
              <w:rPr>
                <w:rFonts w:cs="仿宋" w:asciiTheme="minorEastAsia" w:hAnsiTheme="minorEastAsia" w:eastAsiaTheme="minorEastAsia"/>
                <w:b/>
                <w:color w:val="auto"/>
                <w:kern w:val="2"/>
                <w:sz w:val="18"/>
                <w:szCs w:val="21"/>
                <w:highlight w:val="none"/>
                <w:lang w:val="en-US"/>
              </w:rPr>
            </w:pPr>
            <w:r>
              <w:rPr>
                <w:rFonts w:hint="eastAsia" w:cs="仿宋" w:asciiTheme="minorEastAsia" w:hAnsiTheme="minorEastAsia" w:eastAsiaTheme="minorEastAsia"/>
                <w:b/>
                <w:color w:val="auto"/>
                <w:kern w:val="2"/>
                <w:sz w:val="18"/>
                <w:szCs w:val="21"/>
                <w:highlight w:val="none"/>
                <w:lang w:val="en-US"/>
              </w:rPr>
              <w:t>审核结论</w:t>
            </w:r>
          </w:p>
        </w:tc>
      </w:tr>
    </w:tbl>
    <w:p>
      <w:pPr>
        <w:ind w:firstLine="420"/>
        <w:rPr>
          <w:rFonts w:asciiTheme="minorEastAsia" w:hAnsiTheme="minorEastAsia" w:eastAsiaTheme="minorEastAsia"/>
          <w:color w:val="auto"/>
          <w:szCs w:val="24"/>
          <w:highlight w:val="none"/>
        </w:rPr>
      </w:pPr>
      <w:bookmarkStart w:id="88" w:name="_Toc477283128"/>
      <w:bookmarkStart w:id="89" w:name="_Toc478628935"/>
      <w:r>
        <w:rPr>
          <w:rFonts w:hint="eastAsia" w:asciiTheme="minorEastAsia" w:hAnsiTheme="minorEastAsia" w:eastAsiaTheme="minorEastAsia"/>
          <w:color w:val="auto"/>
          <w:szCs w:val="24"/>
          <w:highlight w:val="none"/>
        </w:rPr>
        <w:t xml:space="preserve">说明： </w:t>
      </w:r>
    </w:p>
    <w:p>
      <w:pPr>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1、谈判小组分别对每一响应文件依据上表进行检查。</w:t>
      </w:r>
    </w:p>
    <w:p>
      <w:pPr>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2、满足要求的条款打“√”，否则为“×”。</w:t>
      </w:r>
    </w:p>
    <w:p>
      <w:pPr>
        <w:ind w:firstLine="422"/>
        <w:rPr>
          <w:rFonts w:asciiTheme="minorEastAsia" w:hAnsiTheme="minorEastAsia" w:eastAsiaTheme="minorEastAsia"/>
          <w:b/>
          <w:bCs/>
          <w:color w:val="auto"/>
          <w:szCs w:val="24"/>
          <w:highlight w:val="none"/>
        </w:rPr>
      </w:pPr>
      <w:r>
        <w:rPr>
          <w:rFonts w:hint="eastAsia" w:asciiTheme="minorEastAsia" w:hAnsiTheme="minorEastAsia" w:eastAsiaTheme="minorEastAsia"/>
          <w:b/>
          <w:bCs/>
          <w:color w:val="auto"/>
          <w:szCs w:val="24"/>
          <w:highlight w:val="none"/>
        </w:rPr>
        <w:t>3、响应文件中有任意一条不满足上表要求的将导致其响应无效，不进入下一项评审。</w:t>
      </w:r>
    </w:p>
    <w:p>
      <w:pPr>
        <w:ind w:left="420" w:firstLine="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4、通过资格性和符合性审查的供应商才能提交最后报价。</w:t>
      </w:r>
    </w:p>
    <w:p>
      <w:pPr>
        <w:ind w:firstLine="42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二</w:t>
      </w:r>
      <w:r>
        <w:rPr>
          <w:rFonts w:asciiTheme="minorEastAsia" w:hAnsiTheme="minorEastAsia" w:eastAsiaTheme="minorEastAsia"/>
          <w:b/>
          <w:color w:val="auto"/>
          <w:highlight w:val="none"/>
        </w:rPr>
        <w:t>、推荐成交候选供应商标准</w:t>
      </w:r>
      <w:bookmarkEnd w:id="88"/>
      <w:bookmarkEnd w:id="89"/>
    </w:p>
    <w:p>
      <w:pPr>
        <w:ind w:firstLine="420"/>
        <w:rPr>
          <w:rFonts w:asciiTheme="minorEastAsia" w:hAnsiTheme="minorEastAsia" w:eastAsiaTheme="minorEastAsia"/>
          <w:color w:val="auto"/>
          <w:highlight w:val="none"/>
        </w:rPr>
      </w:pPr>
      <w:bookmarkStart w:id="90" w:name="_Toc478628936"/>
      <w:r>
        <w:rPr>
          <w:rFonts w:asciiTheme="minorEastAsia" w:hAnsiTheme="minorEastAsia" w:eastAsiaTheme="minorEastAsia"/>
          <w:color w:val="auto"/>
          <w:highlight w:val="none"/>
        </w:rPr>
        <w:t>谈判小组应当从质量和服务均能满足采购文件实质性响应要求的供应商中，按照</w:t>
      </w:r>
      <w:r>
        <w:rPr>
          <w:rFonts w:asciiTheme="minorEastAsia" w:hAnsiTheme="minorEastAsia" w:eastAsiaTheme="minorEastAsia"/>
          <w:bCs/>
          <w:color w:val="auto"/>
          <w:highlight w:val="none"/>
        </w:rPr>
        <w:t>最后报价</w:t>
      </w:r>
      <w:r>
        <w:rPr>
          <w:rFonts w:hint="eastAsia" w:asciiTheme="minorEastAsia" w:hAnsiTheme="minorEastAsia" w:eastAsiaTheme="minorEastAsia"/>
          <w:bCs/>
          <w:color w:val="auto"/>
          <w:highlight w:val="none"/>
        </w:rPr>
        <w:t>（核算后）</w:t>
      </w:r>
      <w:r>
        <w:rPr>
          <w:rFonts w:asciiTheme="minorEastAsia" w:hAnsiTheme="minorEastAsia" w:eastAsiaTheme="minorEastAsia"/>
          <w:color w:val="auto"/>
          <w:highlight w:val="none"/>
        </w:rPr>
        <w:t>由低到高的顺序提出成交候选</w:t>
      </w:r>
      <w:r>
        <w:rPr>
          <w:rFonts w:hint="eastAsia" w:asciiTheme="minorEastAsia" w:hAnsiTheme="minorEastAsia" w:eastAsiaTheme="minorEastAsia"/>
          <w:color w:val="auto"/>
          <w:highlight w:val="none"/>
        </w:rPr>
        <w:t>供应商</w:t>
      </w:r>
      <w:r>
        <w:rPr>
          <w:rFonts w:asciiTheme="minorEastAsia" w:hAnsiTheme="minorEastAsia" w:eastAsiaTheme="minorEastAsia"/>
          <w:color w:val="auto"/>
          <w:highlight w:val="none"/>
        </w:rPr>
        <w:t>，并编写评审报告。</w:t>
      </w:r>
    </w:p>
    <w:bookmarkEnd w:id="90"/>
    <w:p>
      <w:pPr>
        <w:rPr>
          <w:rFonts w:hint="eastAsia" w:asciiTheme="minorEastAsia" w:hAnsiTheme="minorEastAsia" w:eastAsiaTheme="minorEastAsia"/>
          <w:color w:val="auto"/>
          <w:highlight w:val="none"/>
          <w:lang w:val="en-US" w:eastAsia="zh-CN"/>
        </w:rPr>
      </w:pPr>
      <w:bookmarkStart w:id="91" w:name="_Toc4665577"/>
      <w:bookmarkStart w:id="92" w:name="_Toc83732593"/>
      <w:r>
        <w:rPr>
          <w:rFonts w:hint="eastAsia" w:asciiTheme="minorEastAsia" w:hAnsiTheme="minorEastAsia" w:eastAsiaTheme="minorEastAsia"/>
          <w:color w:val="auto"/>
          <w:highlight w:val="none"/>
          <w:lang w:val="en-US" w:eastAsia="zh-CN"/>
        </w:rPr>
        <w:br w:type="page"/>
      </w:r>
    </w:p>
    <w:p>
      <w:pPr>
        <w:pStyle w:val="7"/>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 xml:space="preserve">第五章 </w:t>
      </w:r>
      <w:r>
        <w:rPr>
          <w:rFonts w:hint="eastAsia" w:asciiTheme="minorEastAsia" w:hAnsiTheme="minorEastAsia" w:eastAsiaTheme="minorEastAsia"/>
          <w:color w:val="auto"/>
          <w:highlight w:val="none"/>
        </w:rPr>
        <w:t xml:space="preserve"> 合同</w:t>
      </w:r>
      <w:bookmarkEnd w:id="91"/>
      <w:bookmarkEnd w:id="92"/>
      <w:r>
        <w:rPr>
          <w:rFonts w:hint="eastAsia" w:asciiTheme="minorEastAsia" w:hAnsiTheme="minorEastAsia" w:eastAsiaTheme="minorEastAsia"/>
          <w:color w:val="auto"/>
          <w:highlight w:val="none"/>
          <w:lang w:val="en-US" w:eastAsia="zh-CN"/>
        </w:rPr>
        <w:t>主要条款</w:t>
      </w:r>
    </w:p>
    <w:p>
      <w:pPr>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甲方（买方）：</w:t>
      </w:r>
      <w:r>
        <w:rPr>
          <w:rFonts w:hint="eastAsia" w:cs="仿宋"/>
          <w:color w:val="auto"/>
          <w:szCs w:val="28"/>
          <w:highlight w:val="none"/>
          <w:lang w:eastAsia="zh-CN"/>
        </w:rPr>
        <w:t>湖北省鄂东云计算技术服务有限公司</w:t>
      </w:r>
    </w:p>
    <w:p>
      <w:pPr>
        <w:rPr>
          <w:rFonts w:ascii="仿宋" w:hAnsi="仿宋" w:eastAsia="仿宋" w:cs="仿宋"/>
          <w:color w:val="auto"/>
          <w:spacing w:val="-4"/>
          <w:szCs w:val="28"/>
          <w:highlight w:val="none"/>
          <w:u w:val="single"/>
        </w:rPr>
      </w:pPr>
      <w:r>
        <w:rPr>
          <w:rFonts w:hint="eastAsia" w:ascii="仿宋" w:hAnsi="仿宋" w:eastAsia="仿宋" w:cs="仿宋"/>
          <w:color w:val="auto"/>
          <w:szCs w:val="28"/>
          <w:highlight w:val="none"/>
        </w:rPr>
        <w:t>乙方（卖方）：</w:t>
      </w:r>
      <w:r>
        <w:rPr>
          <w:rFonts w:hint="eastAsia" w:ascii="仿宋" w:hAnsi="仿宋" w:eastAsia="仿宋" w:cs="仿宋"/>
          <w:color w:val="auto"/>
          <w:szCs w:val="28"/>
          <w:highlight w:val="none"/>
          <w:u w:val="single"/>
        </w:rPr>
        <w:t xml:space="preserve">                    </w:t>
      </w:r>
    </w:p>
    <w:p>
      <w:pPr>
        <w:numPr>
          <w:ilvl w:val="0"/>
          <w:numId w:val="5"/>
        </w:num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乙双方</w:t>
      </w:r>
      <w:r>
        <w:rPr>
          <w:rFonts w:hint="eastAsia" w:cs="仿宋"/>
          <w:color w:val="auto"/>
          <w:spacing w:val="-4"/>
          <w:szCs w:val="28"/>
          <w:highlight w:val="none"/>
          <w:lang w:val="en-US" w:eastAsia="zh-CN"/>
        </w:rPr>
        <w:t>基于</w:t>
      </w:r>
      <w:r>
        <w:rPr>
          <w:rFonts w:hint="eastAsia" w:ascii="仿宋" w:hAnsi="仿宋" w:eastAsia="仿宋" w:cs="仿宋"/>
          <w:color w:val="auto"/>
          <w:spacing w:val="-4"/>
          <w:szCs w:val="28"/>
          <w:highlight w:val="none"/>
        </w:rPr>
        <w:t>平等、自愿、相互信任的基础，按照《中华人民共和国民法典》等法律法规，依据甲方的</w:t>
      </w:r>
      <w:r>
        <w:rPr>
          <w:rFonts w:hint="eastAsia" w:cs="仿宋"/>
          <w:color w:val="auto"/>
          <w:spacing w:val="-4"/>
          <w:szCs w:val="28"/>
          <w:highlight w:val="none"/>
          <w:lang w:val="en-US" w:eastAsia="zh-CN"/>
        </w:rPr>
        <w:t>采购</w:t>
      </w:r>
      <w:r>
        <w:rPr>
          <w:rFonts w:hint="eastAsia" w:ascii="仿宋" w:hAnsi="仿宋" w:eastAsia="仿宋" w:cs="仿宋"/>
          <w:color w:val="auto"/>
          <w:spacing w:val="-4"/>
          <w:szCs w:val="28"/>
          <w:highlight w:val="none"/>
        </w:rPr>
        <w:t>文件和乙方</w:t>
      </w:r>
      <w:r>
        <w:rPr>
          <w:rFonts w:hint="eastAsia" w:ascii="仿宋" w:hAnsi="仿宋" w:eastAsia="仿宋" w:cs="仿宋"/>
          <w:color w:val="auto"/>
          <w:spacing w:val="-4"/>
          <w:szCs w:val="28"/>
          <w:highlight w:val="none"/>
          <w:lang w:val="en-US" w:eastAsia="zh-CN"/>
        </w:rPr>
        <w:t>响应</w:t>
      </w:r>
      <w:r>
        <w:rPr>
          <w:rFonts w:hint="eastAsia" w:ascii="仿宋" w:hAnsi="仿宋" w:eastAsia="仿宋" w:cs="仿宋"/>
          <w:color w:val="auto"/>
          <w:spacing w:val="-4"/>
          <w:szCs w:val="28"/>
          <w:highlight w:val="none"/>
        </w:rPr>
        <w:t>文件的相关内容，结合本项目实际情况，经双方友好协商达成如下协议，以资共同遵守执行。</w:t>
      </w:r>
    </w:p>
    <w:p>
      <w:pPr>
        <w:pStyle w:val="2"/>
        <w:ind w:left="0" w:leftChars="0" w:firstLine="404" w:firstLineChars="200"/>
        <w:jc w:val="both"/>
        <w:rPr>
          <w:rFonts w:hint="default" w:ascii="仿宋" w:hAnsi="仿宋" w:eastAsia="仿宋" w:cs="仿宋"/>
          <w:color w:val="auto"/>
          <w:spacing w:val="-4"/>
          <w:kern w:val="2"/>
          <w:sz w:val="21"/>
          <w:szCs w:val="28"/>
          <w:highlight w:val="none"/>
          <w:u w:val="single"/>
          <w:lang w:val="en-US" w:eastAsia="zh-CN" w:bidi="ar-SA"/>
        </w:rPr>
      </w:pPr>
      <w:r>
        <w:rPr>
          <w:rFonts w:hint="eastAsia" w:ascii="仿宋" w:hAnsi="仿宋" w:eastAsia="仿宋" w:cs="仿宋"/>
          <w:color w:val="auto"/>
          <w:spacing w:val="-4"/>
          <w:kern w:val="2"/>
          <w:sz w:val="21"/>
          <w:szCs w:val="28"/>
          <w:highlight w:val="none"/>
          <w:lang w:val="en-US" w:eastAsia="zh-CN" w:bidi="ar-SA"/>
        </w:rPr>
        <w:t>项目名称：</w:t>
      </w:r>
    </w:p>
    <w:p>
      <w:pPr>
        <w:pStyle w:val="21"/>
        <w:numPr>
          <w:ilvl w:val="0"/>
          <w:numId w:val="6"/>
        </w:numPr>
        <w:ind w:left="425" w:leftChars="0" w:firstLine="0" w:firstLineChars="0"/>
        <w:rPr>
          <w:rFonts w:hint="eastAsia" w:ascii="仿宋" w:hAnsi="仿宋" w:eastAsia="仿宋" w:cs="仿宋"/>
          <w:b/>
          <w:bCs/>
          <w:color w:val="auto"/>
          <w:kern w:val="2"/>
          <w:sz w:val="21"/>
          <w:szCs w:val="28"/>
          <w:highlight w:val="none"/>
          <w:lang w:val="en-US" w:eastAsia="zh-CN" w:bidi="ar-SA"/>
        </w:rPr>
      </w:pPr>
      <w:r>
        <w:rPr>
          <w:rFonts w:hint="eastAsia" w:ascii="仿宋" w:hAnsi="仿宋" w:eastAsia="仿宋" w:cs="仿宋"/>
          <w:b/>
          <w:bCs/>
          <w:color w:val="auto"/>
          <w:kern w:val="2"/>
          <w:sz w:val="21"/>
          <w:szCs w:val="28"/>
          <w:highlight w:val="none"/>
          <w:lang w:val="en-US" w:eastAsia="zh-CN" w:bidi="ar-SA"/>
        </w:rPr>
        <w:t>合同文件</w:t>
      </w:r>
    </w:p>
    <w:p>
      <w:pPr>
        <w:pStyle w:val="21"/>
        <w:numPr>
          <w:ilvl w:val="0"/>
          <w:numId w:val="0"/>
        </w:numPr>
        <w:ind w:left="422" w:leftChars="0"/>
        <w:rPr>
          <w:rFonts w:hint="eastAsia" w:cs="仿宋"/>
          <w:b/>
          <w:bCs/>
          <w:color w:val="auto"/>
          <w:kern w:val="2"/>
          <w:sz w:val="21"/>
          <w:szCs w:val="28"/>
          <w:highlight w:val="none"/>
          <w:lang w:val="en-US" w:eastAsia="zh-CN" w:bidi="ar-SA"/>
        </w:rPr>
      </w:pPr>
      <w:r>
        <w:rPr>
          <w:rFonts w:hint="eastAsia" w:cs="仿宋"/>
          <w:b/>
          <w:bCs/>
          <w:color w:val="auto"/>
          <w:kern w:val="2"/>
          <w:sz w:val="21"/>
          <w:szCs w:val="28"/>
          <w:highlight w:val="none"/>
          <w:lang w:val="en-US" w:eastAsia="zh-CN" w:bidi="ar-SA"/>
        </w:rPr>
        <w:t>下列文件为本合同不可分割的部分。</w:t>
      </w:r>
    </w:p>
    <w:p>
      <w:pPr>
        <w:pStyle w:val="21"/>
        <w:numPr>
          <w:ilvl w:val="0"/>
          <w:numId w:val="0"/>
        </w:numPr>
        <w:ind w:left="420" w:leftChars="0"/>
        <w:rPr>
          <w:rFonts w:hint="eastAsia" w:ascii="仿宋" w:hAnsi="仿宋" w:eastAsia="仿宋"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1、本项目采购</w:t>
      </w:r>
      <w:r>
        <w:rPr>
          <w:rFonts w:hint="eastAsia" w:ascii="仿宋" w:hAnsi="仿宋" w:eastAsia="仿宋" w:cs="仿宋"/>
          <w:color w:val="auto"/>
          <w:kern w:val="2"/>
          <w:sz w:val="21"/>
          <w:szCs w:val="28"/>
          <w:highlight w:val="none"/>
          <w:lang w:val="en-US" w:eastAsia="zh-CN" w:bidi="ar-SA"/>
        </w:rPr>
        <w:t>文件；</w:t>
      </w:r>
    </w:p>
    <w:p>
      <w:pPr>
        <w:pStyle w:val="21"/>
        <w:numPr>
          <w:ilvl w:val="0"/>
          <w:numId w:val="0"/>
        </w:numPr>
        <w:ind w:left="420" w:leftChars="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2、供方中标的响应文件；</w:t>
      </w:r>
    </w:p>
    <w:p>
      <w:pPr>
        <w:pStyle w:val="21"/>
        <w:numPr>
          <w:ilvl w:val="0"/>
          <w:numId w:val="0"/>
        </w:numPr>
        <w:ind w:left="420" w:leftChars="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3、采购人/采购代理发出的中标/成交通知书；</w:t>
      </w:r>
    </w:p>
    <w:p>
      <w:pPr>
        <w:pStyle w:val="21"/>
        <w:numPr>
          <w:ilvl w:val="0"/>
          <w:numId w:val="0"/>
        </w:numPr>
        <w:ind w:left="420" w:leftChars="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4、合同书；</w:t>
      </w:r>
    </w:p>
    <w:p>
      <w:pPr>
        <w:pStyle w:val="21"/>
        <w:numPr>
          <w:ilvl w:val="0"/>
          <w:numId w:val="0"/>
        </w:numPr>
        <w:ind w:left="420" w:leftChars="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5、合同条款；</w:t>
      </w:r>
    </w:p>
    <w:p>
      <w:pPr>
        <w:pStyle w:val="21"/>
        <w:numPr>
          <w:ilvl w:val="0"/>
          <w:numId w:val="0"/>
        </w:numPr>
        <w:ind w:firstLine="420" w:firstLineChars="20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6、采购方在采购期间发布的所有补充通知；</w:t>
      </w:r>
    </w:p>
    <w:p>
      <w:pPr>
        <w:pStyle w:val="21"/>
        <w:numPr>
          <w:ilvl w:val="0"/>
          <w:numId w:val="0"/>
        </w:numPr>
        <w:ind w:firstLine="420" w:firstLineChars="20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7、供方在响应采购期间的所有书面文件；</w:t>
      </w:r>
    </w:p>
    <w:p>
      <w:pPr>
        <w:pStyle w:val="21"/>
        <w:numPr>
          <w:ilvl w:val="0"/>
          <w:numId w:val="0"/>
        </w:numPr>
        <w:ind w:firstLine="420" w:firstLineChars="20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8、供方在采购响应期间同采购文件一起递交的资料及附图；</w:t>
      </w:r>
    </w:p>
    <w:p>
      <w:pPr>
        <w:pStyle w:val="21"/>
        <w:numPr>
          <w:ilvl w:val="0"/>
          <w:numId w:val="0"/>
        </w:numPr>
        <w:ind w:firstLine="420" w:firstLineChars="200"/>
        <w:rPr>
          <w:rFonts w:hint="eastAsia" w:cs="仿宋"/>
          <w:color w:val="auto"/>
          <w:kern w:val="2"/>
          <w:sz w:val="21"/>
          <w:szCs w:val="28"/>
          <w:highlight w:val="none"/>
          <w:lang w:val="en-US" w:eastAsia="zh-CN" w:bidi="ar-SA"/>
        </w:rPr>
      </w:pPr>
      <w:r>
        <w:rPr>
          <w:rFonts w:hint="eastAsia" w:cs="仿宋"/>
          <w:color w:val="auto"/>
          <w:kern w:val="2"/>
          <w:sz w:val="21"/>
          <w:szCs w:val="28"/>
          <w:highlight w:val="none"/>
          <w:lang w:val="en-US" w:eastAsia="zh-CN" w:bidi="ar-SA"/>
        </w:rPr>
        <w:t>9、在商洽本合同时，双方澄清、确认并共同签字的补充文件、技术协议。</w:t>
      </w:r>
    </w:p>
    <w:p>
      <w:pPr>
        <w:pStyle w:val="21"/>
        <w:numPr>
          <w:ilvl w:val="0"/>
          <w:numId w:val="6"/>
        </w:numPr>
        <w:ind w:left="425" w:leftChars="0" w:firstLine="0" w:firstLineChars="0"/>
        <w:rPr>
          <w:rFonts w:hint="default" w:ascii="仿宋" w:hAnsi="仿宋" w:eastAsia="仿宋" w:cs="仿宋"/>
          <w:b/>
          <w:bCs/>
          <w:color w:val="auto"/>
          <w:kern w:val="2"/>
          <w:sz w:val="21"/>
          <w:szCs w:val="28"/>
          <w:highlight w:val="none"/>
          <w:lang w:val="en-US" w:eastAsia="zh-CN" w:bidi="ar-SA"/>
        </w:rPr>
      </w:pPr>
      <w:r>
        <w:rPr>
          <w:rFonts w:hint="eastAsia" w:cs="仿宋"/>
          <w:b/>
          <w:bCs/>
          <w:color w:val="auto"/>
          <w:kern w:val="2"/>
          <w:sz w:val="21"/>
          <w:szCs w:val="28"/>
          <w:highlight w:val="none"/>
          <w:lang w:val="en-US" w:eastAsia="zh-CN" w:bidi="ar-SA"/>
        </w:rPr>
        <w:t>服务</w:t>
      </w:r>
      <w:r>
        <w:rPr>
          <w:rFonts w:hint="eastAsia" w:ascii="仿宋" w:hAnsi="仿宋" w:eastAsia="仿宋" w:cs="仿宋"/>
          <w:b/>
          <w:bCs/>
          <w:color w:val="auto"/>
          <w:kern w:val="2"/>
          <w:sz w:val="21"/>
          <w:szCs w:val="28"/>
          <w:highlight w:val="none"/>
          <w:lang w:val="en-US" w:eastAsia="zh-CN" w:bidi="ar-SA"/>
        </w:rPr>
        <w:t>内容</w:t>
      </w:r>
    </w:p>
    <w:p>
      <w:pPr>
        <w:numPr>
          <w:ilvl w:val="0"/>
          <w:numId w:val="7"/>
        </w:numPr>
        <w:rPr>
          <w:rFonts w:hint="eastAsia" w:cs="仿宋"/>
          <w:color w:val="auto"/>
          <w:szCs w:val="28"/>
          <w:highlight w:val="none"/>
          <w:lang w:val="en-US" w:eastAsia="zh-CN"/>
        </w:rPr>
      </w:pPr>
      <w:r>
        <w:rPr>
          <w:rFonts w:hint="eastAsia" w:cs="仿宋"/>
          <w:color w:val="auto"/>
          <w:szCs w:val="28"/>
          <w:highlight w:val="none"/>
          <w:lang w:val="en-US" w:eastAsia="zh-CN"/>
        </w:rPr>
        <w:t>标的物清单或服务范围：</w:t>
      </w:r>
    </w:p>
    <w:p>
      <w:pPr>
        <w:numPr>
          <w:ilvl w:val="0"/>
          <w:numId w:val="7"/>
        </w:numPr>
        <w:rPr>
          <w:rFonts w:hint="eastAsia" w:cs="仿宋"/>
          <w:color w:val="auto"/>
          <w:szCs w:val="28"/>
          <w:highlight w:val="none"/>
          <w:lang w:val="en-US" w:eastAsia="zh-CN"/>
        </w:rPr>
      </w:pPr>
      <w:r>
        <w:rPr>
          <w:rFonts w:hint="eastAsia" w:cs="仿宋"/>
          <w:color w:val="auto"/>
          <w:szCs w:val="28"/>
          <w:highlight w:val="none"/>
          <w:lang w:val="en-US" w:eastAsia="zh-CN"/>
        </w:rPr>
        <w:t>服务</w:t>
      </w:r>
      <w:r>
        <w:rPr>
          <w:rFonts w:hint="eastAsia" w:ascii="仿宋" w:hAnsi="仿宋" w:eastAsia="仿宋" w:cs="仿宋"/>
          <w:color w:val="auto"/>
          <w:szCs w:val="28"/>
          <w:highlight w:val="none"/>
        </w:rPr>
        <w:t>期</w:t>
      </w:r>
      <w:r>
        <w:rPr>
          <w:rFonts w:hint="eastAsia" w:cs="仿宋"/>
          <w:color w:val="auto"/>
          <w:szCs w:val="28"/>
          <w:highlight w:val="none"/>
          <w:lang w:eastAsia="zh-CN"/>
        </w:rPr>
        <w:t>：合同签订之日</w:t>
      </w:r>
      <w:r>
        <w:rPr>
          <w:rFonts w:hint="eastAsia" w:cs="仿宋"/>
          <w:color w:val="auto"/>
          <w:szCs w:val="28"/>
          <w:highlight w:val="none"/>
          <w:lang w:val="en-US" w:eastAsia="zh-CN"/>
        </w:rPr>
        <w:t>起1年</w:t>
      </w:r>
      <w:r>
        <w:rPr>
          <w:rFonts w:hint="eastAsia" w:cs="仿宋"/>
          <w:color w:val="auto"/>
          <w:szCs w:val="28"/>
          <w:highlight w:val="none"/>
          <w:lang w:eastAsia="zh-CN"/>
        </w:rPr>
        <w:t>。</w:t>
      </w:r>
    </w:p>
    <w:p>
      <w:pPr>
        <w:numPr>
          <w:ilvl w:val="0"/>
          <w:numId w:val="7"/>
        </w:numPr>
        <w:rPr>
          <w:rFonts w:hint="eastAsia" w:cs="仿宋"/>
          <w:color w:val="auto"/>
          <w:szCs w:val="28"/>
          <w:highlight w:val="none"/>
          <w:lang w:val="en-US" w:eastAsia="zh-CN"/>
        </w:rPr>
      </w:pPr>
      <w:r>
        <w:rPr>
          <w:rFonts w:hint="eastAsia" w:cs="仿宋"/>
          <w:color w:val="auto"/>
          <w:szCs w:val="28"/>
          <w:highlight w:val="none"/>
          <w:lang w:val="en-US" w:eastAsia="zh-CN"/>
        </w:rPr>
        <w:t>成果物交付日期：</w:t>
      </w:r>
      <w:r>
        <w:rPr>
          <w:rFonts w:hint="eastAsia" w:cs="仿宋"/>
          <w:color w:val="auto"/>
          <w:szCs w:val="28"/>
          <w:highlight w:val="none"/>
          <w:lang w:eastAsia="zh-CN"/>
        </w:rPr>
        <w:t>合同签订之日</w:t>
      </w:r>
      <w:r>
        <w:rPr>
          <w:rFonts w:hint="eastAsia" w:cs="仿宋"/>
          <w:color w:val="auto"/>
          <w:szCs w:val="28"/>
          <w:highlight w:val="none"/>
          <w:lang w:val="en-US" w:eastAsia="zh-CN"/>
        </w:rPr>
        <w:t>起</w:t>
      </w:r>
      <w:r>
        <w:rPr>
          <w:rFonts w:hint="eastAsia" w:cs="仿宋"/>
          <w:color w:val="auto"/>
          <w:szCs w:val="28"/>
          <w:highlight w:val="none"/>
          <w:u w:val="single"/>
          <w:lang w:val="en-US" w:eastAsia="zh-CN"/>
        </w:rPr>
        <w:t xml:space="preserve"> 10 </w:t>
      </w:r>
      <w:r>
        <w:rPr>
          <w:rFonts w:hint="eastAsia" w:cs="仿宋"/>
          <w:color w:val="auto"/>
          <w:szCs w:val="28"/>
          <w:highlight w:val="none"/>
          <w:lang w:val="en-US" w:eastAsia="zh-CN"/>
        </w:rPr>
        <w:t>日内完成成果物的交付。</w:t>
      </w:r>
    </w:p>
    <w:p>
      <w:pPr>
        <w:pStyle w:val="21"/>
        <w:numPr>
          <w:ilvl w:val="0"/>
          <w:numId w:val="6"/>
        </w:numPr>
        <w:ind w:left="425" w:leftChars="0" w:firstLine="0" w:firstLineChars="0"/>
        <w:rPr>
          <w:rFonts w:hint="eastAsia" w:cs="仿宋"/>
          <w:b/>
          <w:bCs/>
          <w:color w:val="auto"/>
          <w:kern w:val="2"/>
          <w:sz w:val="21"/>
          <w:szCs w:val="28"/>
          <w:highlight w:val="none"/>
          <w:lang w:val="en-US" w:eastAsia="zh-CN" w:bidi="ar-SA"/>
        </w:rPr>
      </w:pPr>
      <w:r>
        <w:rPr>
          <w:rFonts w:hint="eastAsia" w:cs="仿宋"/>
          <w:b/>
          <w:bCs/>
          <w:color w:val="auto"/>
          <w:kern w:val="2"/>
          <w:sz w:val="21"/>
          <w:szCs w:val="28"/>
          <w:highlight w:val="none"/>
          <w:lang w:val="en-US" w:eastAsia="zh-CN" w:bidi="ar-SA"/>
        </w:rPr>
        <w:t>合同履行期限及地点</w:t>
      </w:r>
    </w:p>
    <w:p>
      <w:pPr>
        <w:pStyle w:val="21"/>
        <w:numPr>
          <w:ilvl w:val="0"/>
          <w:numId w:val="8"/>
        </w:numPr>
        <w:rPr>
          <w:rFonts w:hint="eastAsia" w:cs="仿宋"/>
          <w:color w:val="auto"/>
          <w:szCs w:val="28"/>
          <w:highlight w:val="none"/>
          <w:lang w:val="en-US" w:eastAsia="zh-CN"/>
        </w:rPr>
      </w:pPr>
      <w:r>
        <w:rPr>
          <w:rFonts w:hint="eastAsia" w:cs="仿宋"/>
          <w:color w:val="auto"/>
          <w:szCs w:val="28"/>
          <w:highlight w:val="none"/>
          <w:lang w:val="en-US" w:eastAsia="zh-CN"/>
        </w:rPr>
        <w:t>合同履行期限：自合同签订之日起至</w:t>
      </w:r>
      <w:r>
        <w:rPr>
          <w:rFonts w:hint="eastAsia" w:cs="仿宋"/>
          <w:color w:val="auto"/>
          <w:szCs w:val="28"/>
          <w:highlight w:val="none"/>
          <w:u w:val="single"/>
          <w:lang w:val="en-US" w:eastAsia="zh-CN"/>
        </w:rPr>
        <w:t>1</w:t>
      </w:r>
      <w:r>
        <w:rPr>
          <w:rFonts w:hint="eastAsia" w:cs="仿宋"/>
          <w:color w:val="auto"/>
          <w:szCs w:val="28"/>
          <w:highlight w:val="none"/>
          <w:lang w:val="en-US" w:eastAsia="zh-CN"/>
        </w:rPr>
        <w:t>年服务期结束止，本协议期限结束前三</w:t>
      </w:r>
    </w:p>
    <w:p>
      <w:pPr>
        <w:pStyle w:val="21"/>
        <w:numPr>
          <w:ilvl w:val="0"/>
          <w:numId w:val="0"/>
        </w:numPr>
        <w:rPr>
          <w:rFonts w:hint="eastAsia" w:cs="仿宋"/>
          <w:color w:val="auto"/>
          <w:szCs w:val="28"/>
          <w:highlight w:val="none"/>
          <w:lang w:val="en-US" w:eastAsia="zh-CN"/>
        </w:rPr>
      </w:pPr>
      <w:r>
        <w:rPr>
          <w:rFonts w:hint="eastAsia" w:cs="仿宋"/>
          <w:color w:val="auto"/>
          <w:szCs w:val="28"/>
          <w:highlight w:val="none"/>
          <w:lang w:val="en-US" w:eastAsia="zh-CN"/>
        </w:rPr>
        <w:t>十日内，如协议方有继续合作的意向，则重新沟通新的购买服务协议，否则本协议到期终止。</w:t>
      </w:r>
    </w:p>
    <w:p>
      <w:pPr>
        <w:pStyle w:val="21"/>
        <w:numPr>
          <w:ilvl w:val="0"/>
          <w:numId w:val="8"/>
        </w:numPr>
        <w:rPr>
          <w:rFonts w:hint="eastAsia" w:cs="仿宋"/>
          <w:color w:val="auto"/>
          <w:szCs w:val="28"/>
          <w:highlight w:val="none"/>
          <w:lang w:val="en-US" w:eastAsia="zh-CN"/>
        </w:rPr>
      </w:pPr>
      <w:r>
        <w:rPr>
          <w:rFonts w:hint="eastAsia" w:cs="仿宋"/>
          <w:color w:val="auto"/>
          <w:szCs w:val="28"/>
          <w:highlight w:val="none"/>
          <w:lang w:val="en-US" w:eastAsia="zh-CN"/>
        </w:rPr>
        <w:t>合同履行地点：黄石</w:t>
      </w:r>
    </w:p>
    <w:p>
      <w:pPr>
        <w:pStyle w:val="21"/>
        <w:numPr>
          <w:ilvl w:val="0"/>
          <w:numId w:val="8"/>
        </w:numPr>
        <w:rPr>
          <w:rFonts w:hint="default" w:cs="仿宋"/>
          <w:color w:val="auto"/>
          <w:szCs w:val="28"/>
          <w:highlight w:val="none"/>
          <w:lang w:val="en-US" w:eastAsia="zh-CN"/>
        </w:rPr>
      </w:pPr>
      <w:r>
        <w:rPr>
          <w:rFonts w:hint="eastAsia" w:cs="仿宋"/>
          <w:color w:val="auto"/>
          <w:szCs w:val="28"/>
          <w:highlight w:val="none"/>
          <w:lang w:val="en-US" w:eastAsia="zh-CN"/>
        </w:rPr>
        <w:t>合同履行期联系人：</w:t>
      </w:r>
    </w:p>
    <w:p>
      <w:pPr>
        <w:pStyle w:val="21"/>
        <w:numPr>
          <w:ilvl w:val="0"/>
          <w:numId w:val="0"/>
        </w:numPr>
        <w:ind w:left="-100" w:leftChars="0" w:firstLine="630" w:firstLineChars="300"/>
        <w:rPr>
          <w:rFonts w:hint="eastAsia" w:cs="仿宋"/>
          <w:color w:val="auto"/>
          <w:szCs w:val="28"/>
          <w:highlight w:val="none"/>
          <w:lang w:val="en-US" w:eastAsia="zh-CN"/>
        </w:rPr>
      </w:pPr>
      <w:r>
        <w:rPr>
          <w:rFonts w:hint="eastAsia" w:cs="仿宋"/>
          <w:color w:val="auto"/>
          <w:szCs w:val="28"/>
          <w:highlight w:val="none"/>
          <w:lang w:val="en-US" w:eastAsia="zh-CN"/>
        </w:rPr>
        <w:t xml:space="preserve">甲方联系人：秦天碇     联系电话： 13872082833        </w:t>
      </w:r>
    </w:p>
    <w:p>
      <w:pPr>
        <w:pStyle w:val="21"/>
        <w:numPr>
          <w:ilvl w:val="0"/>
          <w:numId w:val="0"/>
        </w:numPr>
        <w:ind w:left="-100" w:leftChars="0" w:firstLine="630" w:firstLineChars="300"/>
        <w:rPr>
          <w:rFonts w:hint="default" w:cs="仿宋"/>
          <w:color w:val="auto"/>
          <w:szCs w:val="28"/>
          <w:highlight w:val="none"/>
          <w:lang w:val="en-US" w:eastAsia="zh-CN"/>
        </w:rPr>
      </w:pPr>
      <w:r>
        <w:rPr>
          <w:rFonts w:hint="eastAsia" w:cs="仿宋"/>
          <w:color w:val="auto"/>
          <w:szCs w:val="28"/>
          <w:highlight w:val="none"/>
          <w:lang w:val="en-US" w:eastAsia="zh-CN"/>
        </w:rPr>
        <w:t xml:space="preserve">乙方联系人：           联系电话：  </w:t>
      </w:r>
    </w:p>
    <w:p>
      <w:pPr>
        <w:numPr>
          <w:ilvl w:val="0"/>
          <w:numId w:val="6"/>
        </w:numPr>
        <w:ind w:left="425" w:leftChars="0"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t>合同金额</w:t>
      </w:r>
    </w:p>
    <w:p>
      <w:pPr>
        <w:pStyle w:val="21"/>
        <w:numPr>
          <w:ilvl w:val="0"/>
          <w:numId w:val="0"/>
        </w:numPr>
        <w:ind w:left="420" w:leftChars="0"/>
        <w:rPr>
          <w:rFonts w:hint="default" w:eastAsia="仿宋"/>
          <w:color w:val="auto"/>
          <w:highlight w:val="none"/>
          <w:lang w:val="en-US" w:eastAsia="zh-CN"/>
        </w:rPr>
      </w:pPr>
      <w:r>
        <w:rPr>
          <w:rFonts w:hint="eastAsia"/>
          <w:color w:val="auto"/>
          <w:highlight w:val="none"/>
          <w:lang w:val="en-US" w:eastAsia="zh-CN"/>
        </w:rPr>
        <w:t>1、合同类型：总价合同</w:t>
      </w:r>
    </w:p>
    <w:p>
      <w:pPr>
        <w:rPr>
          <w:rFonts w:hint="eastAsia" w:ascii="仿宋" w:hAnsi="仿宋" w:eastAsia="仿宋" w:cs="仿宋"/>
          <w:color w:val="auto"/>
          <w:szCs w:val="28"/>
          <w:highlight w:val="none"/>
        </w:rPr>
      </w:pPr>
      <w:r>
        <w:rPr>
          <w:rFonts w:hint="eastAsia" w:cs="仿宋"/>
          <w:color w:val="auto"/>
          <w:szCs w:val="28"/>
          <w:highlight w:val="none"/>
          <w:lang w:val="en-US" w:eastAsia="zh-CN"/>
        </w:rPr>
        <w:t>2</w:t>
      </w:r>
      <w:r>
        <w:rPr>
          <w:rFonts w:hint="eastAsia" w:ascii="仿宋" w:hAnsi="仿宋" w:eastAsia="仿宋" w:cs="仿宋"/>
          <w:color w:val="auto"/>
          <w:szCs w:val="28"/>
          <w:highlight w:val="none"/>
        </w:rPr>
        <w:t>、合同金额（含6%增值税）为小写人民币</w:t>
      </w:r>
      <w:r>
        <w:rPr>
          <w:rFonts w:hint="eastAsia" w:ascii="仿宋" w:hAnsi="仿宋" w:eastAsia="仿宋" w:cs="仿宋"/>
          <w:color w:val="auto"/>
          <w:szCs w:val="28"/>
          <w:highlight w:val="none"/>
          <w:u w:val="single" w:color="000000"/>
        </w:rPr>
        <w:t xml:space="preserve">￥     </w:t>
      </w:r>
      <w:r>
        <w:rPr>
          <w:rFonts w:hint="eastAsia" w:ascii="仿宋" w:hAnsi="仿宋" w:eastAsia="仿宋" w:cs="仿宋"/>
          <w:color w:val="auto"/>
          <w:szCs w:val="28"/>
          <w:highlight w:val="none"/>
        </w:rPr>
        <w:t>元，大写人民币：</w:t>
      </w:r>
      <w:r>
        <w:rPr>
          <w:rFonts w:hint="eastAsia" w:ascii="仿宋" w:hAnsi="仿宋" w:eastAsia="仿宋" w:cs="仿宋"/>
          <w:color w:val="auto"/>
          <w:szCs w:val="28"/>
          <w:highlight w:val="none"/>
          <w:u w:val="single" w:color="000000"/>
        </w:rPr>
        <w:t xml:space="preserve">      整</w:t>
      </w:r>
      <w:r>
        <w:rPr>
          <w:rFonts w:hint="eastAsia" w:ascii="仿宋" w:hAnsi="仿宋" w:eastAsia="仿宋" w:cs="仿宋"/>
          <w:color w:val="auto"/>
          <w:szCs w:val="28"/>
          <w:highlight w:val="none"/>
        </w:rPr>
        <w:t>。</w:t>
      </w:r>
    </w:p>
    <w:p>
      <w:pPr>
        <w:numPr>
          <w:ilvl w:val="0"/>
          <w:numId w:val="6"/>
        </w:numPr>
        <w:ind w:left="425" w:leftChars="0"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t>付款方式</w:t>
      </w:r>
    </w:p>
    <w:p>
      <w:pPr>
        <w:rPr>
          <w:rFonts w:hint="eastAsia" w:ascii="仿宋" w:hAnsi="仿宋" w:eastAsia="仿宋"/>
          <w:color w:val="auto"/>
          <w:szCs w:val="28"/>
          <w:highlight w:val="none"/>
          <w:lang w:val="en-US" w:eastAsia="zh-CN"/>
        </w:rPr>
      </w:pPr>
      <w:r>
        <w:rPr>
          <w:rFonts w:hint="eastAsia"/>
          <w:color w:val="auto"/>
          <w:szCs w:val="28"/>
          <w:highlight w:val="none"/>
          <w:lang w:val="en-US" w:eastAsia="zh-CN"/>
        </w:rPr>
        <w:t>1、</w:t>
      </w:r>
      <w:r>
        <w:rPr>
          <w:rFonts w:hint="eastAsia" w:ascii="仿宋" w:hAnsi="仿宋" w:eastAsia="仿宋"/>
          <w:color w:val="auto"/>
          <w:szCs w:val="28"/>
          <w:highlight w:val="none"/>
          <w:lang w:val="zh-CN" w:eastAsia="zh-CN"/>
        </w:rPr>
        <w:t>合同</w:t>
      </w:r>
      <w:r>
        <w:rPr>
          <w:rFonts w:hint="eastAsia" w:ascii="仿宋" w:hAnsi="仿宋" w:eastAsia="仿宋"/>
          <w:color w:val="auto"/>
          <w:szCs w:val="28"/>
          <w:highlight w:val="none"/>
          <w:lang w:val="en-US" w:eastAsia="zh-CN"/>
        </w:rPr>
        <w:t>签订之日起，30日内采购人向成交供应商支付合同款的50%；</w:t>
      </w:r>
    </w:p>
    <w:p>
      <w:pPr>
        <w:ind w:left="0" w:leftChars="0" w:firstLine="420" w:firstLineChars="200"/>
        <w:rPr>
          <w:rFonts w:hint="eastAsia" w:ascii="仿宋" w:hAnsi="仿宋" w:eastAsia="仿宋"/>
          <w:color w:val="auto"/>
          <w:szCs w:val="28"/>
          <w:highlight w:val="none"/>
          <w:lang w:val="en-US" w:eastAsia="zh-CN"/>
        </w:rPr>
      </w:pPr>
      <w:r>
        <w:rPr>
          <w:rFonts w:hint="eastAsia"/>
          <w:color w:val="auto"/>
          <w:szCs w:val="28"/>
          <w:highlight w:val="none"/>
          <w:lang w:val="en-US" w:eastAsia="zh-CN"/>
        </w:rPr>
        <w:t>2、</w:t>
      </w:r>
      <w:r>
        <w:rPr>
          <w:rFonts w:hint="eastAsia" w:ascii="仿宋" w:hAnsi="仿宋" w:eastAsia="仿宋"/>
          <w:color w:val="auto"/>
          <w:szCs w:val="28"/>
          <w:highlight w:val="none"/>
          <w:lang w:val="zh-CN" w:eastAsia="zh-CN"/>
        </w:rPr>
        <w:t>合同履行期</w:t>
      </w:r>
      <w:r>
        <w:rPr>
          <w:rFonts w:hint="eastAsia" w:ascii="仿宋" w:hAnsi="仿宋" w:eastAsia="仿宋"/>
          <w:color w:val="auto"/>
          <w:szCs w:val="28"/>
          <w:highlight w:val="none"/>
          <w:lang w:val="en-US" w:eastAsia="zh-CN"/>
        </w:rPr>
        <w:t>结束后，30日内采购人向成交供应商支付合同款的50%；</w:t>
      </w:r>
    </w:p>
    <w:p>
      <w:pPr>
        <w:ind w:left="0" w:leftChars="0" w:firstLine="420" w:firstLineChars="200"/>
        <w:rPr>
          <w:rFonts w:hint="eastAsia" w:ascii="仿宋" w:hAnsi="仿宋" w:eastAsia="仿宋" w:cs="仿宋"/>
          <w:color w:val="auto"/>
          <w:szCs w:val="28"/>
          <w:highlight w:val="none"/>
        </w:rPr>
      </w:pPr>
      <w:r>
        <w:rPr>
          <w:rFonts w:hint="eastAsia" w:cs="仿宋"/>
          <w:color w:val="auto"/>
          <w:szCs w:val="28"/>
          <w:highlight w:val="none"/>
          <w:lang w:val="en-US" w:eastAsia="zh-CN"/>
        </w:rPr>
        <w:t>3、</w:t>
      </w:r>
      <w:r>
        <w:rPr>
          <w:rFonts w:hint="eastAsia" w:ascii="仿宋" w:hAnsi="仿宋" w:eastAsia="仿宋" w:cs="仿宋"/>
          <w:color w:val="auto"/>
          <w:szCs w:val="28"/>
          <w:highlight w:val="none"/>
        </w:rPr>
        <w:t>甲方</w:t>
      </w:r>
      <w:r>
        <w:rPr>
          <w:rFonts w:hint="eastAsia" w:ascii="仿宋" w:hAnsi="仿宋" w:eastAsia="仿宋" w:cs="仿宋"/>
          <w:color w:val="auto"/>
          <w:szCs w:val="28"/>
          <w:highlight w:val="none"/>
          <w:lang w:val="en-US" w:eastAsia="zh-CN"/>
        </w:rPr>
        <w:t>支付乙方</w:t>
      </w:r>
      <w:r>
        <w:rPr>
          <w:rFonts w:hint="eastAsia" w:ascii="仿宋" w:hAnsi="仿宋" w:eastAsia="仿宋" w:cs="仿宋"/>
          <w:color w:val="auto"/>
          <w:szCs w:val="28"/>
          <w:highlight w:val="none"/>
        </w:rPr>
        <w:t>相关</w:t>
      </w:r>
      <w:r>
        <w:rPr>
          <w:rFonts w:hint="eastAsia" w:ascii="仿宋" w:hAnsi="仿宋" w:eastAsia="仿宋" w:cs="仿宋"/>
          <w:color w:val="auto"/>
          <w:szCs w:val="28"/>
          <w:highlight w:val="none"/>
          <w:lang w:val="en-US" w:eastAsia="zh-CN"/>
        </w:rPr>
        <w:t>服务</w:t>
      </w:r>
      <w:r>
        <w:rPr>
          <w:rFonts w:hint="eastAsia" w:ascii="仿宋" w:hAnsi="仿宋" w:eastAsia="仿宋" w:cs="仿宋"/>
          <w:color w:val="auto"/>
          <w:szCs w:val="28"/>
          <w:highlight w:val="none"/>
        </w:rPr>
        <w:t>费用</w:t>
      </w:r>
      <w:r>
        <w:rPr>
          <w:rFonts w:hint="eastAsia" w:ascii="仿宋" w:hAnsi="仿宋" w:eastAsia="仿宋" w:cs="仿宋"/>
          <w:color w:val="auto"/>
          <w:szCs w:val="28"/>
          <w:highlight w:val="none"/>
          <w:lang w:val="en-US" w:eastAsia="zh-CN"/>
        </w:rPr>
        <w:t>前，</w:t>
      </w:r>
      <w:r>
        <w:rPr>
          <w:rFonts w:hint="eastAsia" w:ascii="仿宋" w:hAnsi="仿宋" w:eastAsia="仿宋" w:cs="仿宋"/>
          <w:color w:val="auto"/>
          <w:szCs w:val="28"/>
          <w:highlight w:val="none"/>
        </w:rPr>
        <w:t xml:space="preserve">乙方向甲方提供与合同价款等额的合法有效发票（增值税专用发票 </w:t>
      </w:r>
      <w:r>
        <w:rPr>
          <w:rFonts w:hint="eastAsia" w:ascii="仿宋" w:hAnsi="仿宋" w:eastAsia="仿宋" w:cs="仿宋"/>
          <w:color w:val="auto"/>
          <w:szCs w:val="28"/>
          <w:highlight w:val="none"/>
          <w:lang w:val="en-US" w:eastAsia="zh-CN"/>
        </w:rPr>
        <w:t>6</w:t>
      </w:r>
      <w:r>
        <w:rPr>
          <w:rFonts w:hint="eastAsia" w:ascii="仿宋" w:hAnsi="仿宋" w:eastAsia="仿宋" w:cs="仿宋"/>
          <w:color w:val="auto"/>
          <w:szCs w:val="28"/>
          <w:highlight w:val="none"/>
        </w:rPr>
        <w:t>%）并送至甲方。</w:t>
      </w:r>
    </w:p>
    <w:p>
      <w:pPr>
        <w:rPr>
          <w:rFonts w:hint="eastAsia" w:ascii="仿宋" w:hAnsi="仿宋" w:eastAsia="仿宋" w:cs="仿宋"/>
          <w:color w:val="auto"/>
          <w:szCs w:val="28"/>
          <w:highlight w:val="none"/>
        </w:rPr>
      </w:pPr>
      <w:r>
        <w:rPr>
          <w:rFonts w:hint="eastAsia" w:cs="仿宋"/>
          <w:color w:val="auto"/>
          <w:szCs w:val="28"/>
          <w:highlight w:val="none"/>
          <w:lang w:val="en-US" w:eastAsia="zh-CN"/>
        </w:rPr>
        <w:t>4、</w:t>
      </w:r>
      <w:r>
        <w:rPr>
          <w:rFonts w:hint="eastAsia" w:ascii="仿宋" w:hAnsi="仿宋" w:eastAsia="仿宋" w:cs="仿宋"/>
          <w:color w:val="auto"/>
          <w:szCs w:val="28"/>
          <w:highlight w:val="none"/>
          <w:lang w:val="en-US" w:eastAsia="zh-CN"/>
        </w:rPr>
        <w:t>乙方</w:t>
      </w:r>
      <w:r>
        <w:rPr>
          <w:rFonts w:hint="eastAsia" w:ascii="仿宋" w:hAnsi="仿宋" w:eastAsia="仿宋" w:cs="仿宋"/>
          <w:color w:val="auto"/>
          <w:szCs w:val="28"/>
          <w:highlight w:val="none"/>
        </w:rPr>
        <w:t>指定收款账户为：</w:t>
      </w:r>
    </w:p>
    <w:p>
      <w:pP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开户名： </w:t>
      </w:r>
    </w:p>
    <w:p>
      <w:pP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开户行： </w:t>
      </w:r>
    </w:p>
    <w:p>
      <w:pPr>
        <w:rPr>
          <w:rFonts w:hint="eastAsia" w:ascii="仿宋" w:hAnsi="仿宋" w:eastAsia="仿宋" w:cs="仿宋"/>
          <w:color w:val="auto"/>
          <w:szCs w:val="28"/>
          <w:highlight w:val="none"/>
        </w:rPr>
      </w:pPr>
      <w:r>
        <w:rPr>
          <w:rFonts w:hint="eastAsia" w:ascii="仿宋" w:hAnsi="仿宋" w:eastAsia="仿宋" w:cs="仿宋"/>
          <w:color w:val="auto"/>
          <w:szCs w:val="28"/>
          <w:highlight w:val="none"/>
        </w:rPr>
        <w:t>账号：</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权利和义务</w:t>
      </w:r>
    </w:p>
    <w:p>
      <w:pPr>
        <w:rPr>
          <w:rFonts w:hint="eastAsia" w:ascii="仿宋" w:hAnsi="仿宋" w:eastAsia="仿宋" w:cs="仿宋"/>
          <w:b w:val="0"/>
          <w:bCs w:val="0"/>
          <w:color w:val="auto"/>
          <w:szCs w:val="28"/>
          <w:highlight w:val="none"/>
          <w:lang w:val="en-US" w:eastAsia="zh-CN"/>
        </w:rPr>
      </w:pPr>
      <w:r>
        <w:rPr>
          <w:rFonts w:hint="eastAsia" w:cs="仿宋"/>
          <w:b w:val="0"/>
          <w:bCs w:val="0"/>
          <w:color w:val="auto"/>
          <w:szCs w:val="28"/>
          <w:highlight w:val="none"/>
          <w:lang w:val="en-US" w:eastAsia="zh-CN"/>
        </w:rPr>
        <w:t>1、</w:t>
      </w:r>
      <w:r>
        <w:rPr>
          <w:rFonts w:hint="eastAsia" w:ascii="仿宋" w:hAnsi="仿宋" w:eastAsia="仿宋" w:cs="仿宋"/>
          <w:b w:val="0"/>
          <w:bCs w:val="0"/>
          <w:color w:val="auto"/>
          <w:szCs w:val="28"/>
          <w:highlight w:val="none"/>
          <w:lang w:val="en-US" w:eastAsia="zh-CN"/>
        </w:rPr>
        <w:t>甲方的权利和义务</w:t>
      </w:r>
    </w:p>
    <w:p>
      <w:pPr>
        <w:rPr>
          <w:rFonts w:hint="eastAsia" w:ascii="仿宋" w:hAnsi="仿宋" w:eastAsia="仿宋"/>
          <w:color w:val="auto"/>
          <w:szCs w:val="28"/>
          <w:highlight w:val="none"/>
          <w:lang w:val="en-US" w:eastAsia="zh-CN"/>
        </w:rPr>
      </w:pPr>
      <w:r>
        <w:rPr>
          <w:rFonts w:hint="eastAsia"/>
          <w:color w:val="auto"/>
          <w:szCs w:val="28"/>
          <w:highlight w:val="none"/>
          <w:lang w:val="en-US" w:eastAsia="zh-CN"/>
        </w:rPr>
        <w:t>①</w:t>
      </w:r>
      <w:r>
        <w:rPr>
          <w:rFonts w:hint="eastAsia" w:ascii="仿宋" w:hAnsi="仿宋" w:eastAsia="仿宋"/>
          <w:color w:val="auto"/>
          <w:szCs w:val="28"/>
          <w:highlight w:val="none"/>
          <w:lang w:val="en-US" w:eastAsia="zh-CN"/>
        </w:rPr>
        <w:t>甲方按照本协议规定的支付方式，以人民币形式转账至乙方指定的银行账户。</w:t>
      </w:r>
    </w:p>
    <w:p>
      <w:pPr>
        <w:rPr>
          <w:rFonts w:hint="eastAsia" w:ascii="仿宋" w:hAnsi="仿宋" w:eastAsia="仿宋"/>
          <w:color w:val="auto"/>
          <w:szCs w:val="28"/>
          <w:highlight w:val="none"/>
          <w:lang w:val="en-US" w:eastAsia="zh-CN"/>
        </w:rPr>
      </w:pPr>
      <w:r>
        <w:rPr>
          <w:rFonts w:hint="eastAsia"/>
          <w:color w:val="auto"/>
          <w:szCs w:val="28"/>
          <w:highlight w:val="none"/>
          <w:lang w:val="en-US" w:eastAsia="zh-CN"/>
        </w:rPr>
        <w:t>②</w:t>
      </w:r>
      <w:r>
        <w:rPr>
          <w:rFonts w:hint="eastAsia" w:ascii="仿宋" w:hAnsi="仿宋" w:eastAsia="仿宋"/>
          <w:color w:val="auto"/>
          <w:szCs w:val="28"/>
          <w:highlight w:val="none"/>
          <w:lang w:val="en-US" w:eastAsia="zh-CN"/>
        </w:rPr>
        <w:t>在本项目实施之前，甲方应就乙方提出的合理要求，配合做好乙方进场时的相关准备工作。</w:t>
      </w:r>
    </w:p>
    <w:p>
      <w:pPr>
        <w:rPr>
          <w:rFonts w:hint="eastAsia" w:ascii="仿宋" w:hAnsi="仿宋" w:eastAsia="仿宋"/>
          <w:color w:val="auto"/>
          <w:szCs w:val="28"/>
          <w:highlight w:val="none"/>
          <w:lang w:val="en-US" w:eastAsia="zh-CN"/>
        </w:rPr>
      </w:pPr>
      <w:r>
        <w:rPr>
          <w:rFonts w:hint="eastAsia" w:ascii="仿宋" w:hAnsi="仿宋" w:eastAsia="仿宋"/>
          <w:color w:val="auto"/>
          <w:szCs w:val="28"/>
          <w:highlight w:val="none"/>
          <w:lang w:val="en-US" w:eastAsia="zh-CN"/>
        </w:rPr>
        <w:t>③协议执行期间，若因甲方原因造成</w:t>
      </w:r>
      <w:r>
        <w:rPr>
          <w:rFonts w:hint="eastAsia"/>
          <w:color w:val="auto"/>
          <w:szCs w:val="28"/>
          <w:highlight w:val="none"/>
          <w:lang w:val="en-US" w:eastAsia="zh-CN"/>
        </w:rPr>
        <w:t>交付期</w:t>
      </w:r>
      <w:r>
        <w:rPr>
          <w:rFonts w:hint="eastAsia" w:ascii="仿宋" w:hAnsi="仿宋" w:eastAsia="仿宋"/>
          <w:color w:val="auto"/>
          <w:szCs w:val="28"/>
          <w:highlight w:val="none"/>
          <w:lang w:val="en-US" w:eastAsia="zh-CN"/>
        </w:rPr>
        <w:t>延误，则</w:t>
      </w:r>
      <w:r>
        <w:rPr>
          <w:rFonts w:hint="eastAsia"/>
          <w:color w:val="auto"/>
          <w:szCs w:val="28"/>
          <w:highlight w:val="none"/>
          <w:lang w:val="en-US" w:eastAsia="zh-CN"/>
        </w:rPr>
        <w:t>交付</w:t>
      </w:r>
      <w:r>
        <w:rPr>
          <w:rFonts w:hint="eastAsia" w:ascii="仿宋" w:hAnsi="仿宋" w:eastAsia="仿宋"/>
          <w:color w:val="auto"/>
          <w:szCs w:val="28"/>
          <w:highlight w:val="none"/>
          <w:lang w:val="en-US" w:eastAsia="zh-CN"/>
        </w:rPr>
        <w:t>进度顺延。</w:t>
      </w:r>
    </w:p>
    <w:p>
      <w:pPr>
        <w:rPr>
          <w:rFonts w:hint="eastAsia" w:ascii="仿宋" w:hAnsi="仿宋" w:eastAsia="仿宋"/>
          <w:color w:val="auto"/>
          <w:szCs w:val="28"/>
          <w:highlight w:val="none"/>
          <w:lang w:val="en-US" w:eastAsia="zh-CN"/>
        </w:rPr>
      </w:pPr>
      <w:r>
        <w:rPr>
          <w:rFonts w:hint="eastAsia" w:ascii="仿宋" w:hAnsi="仿宋" w:eastAsia="仿宋"/>
          <w:color w:val="auto"/>
          <w:szCs w:val="28"/>
          <w:highlight w:val="none"/>
          <w:lang w:val="en-US" w:eastAsia="zh-CN"/>
        </w:rPr>
        <w:t>2</w:t>
      </w:r>
      <w:r>
        <w:rPr>
          <w:rFonts w:hint="eastAsia"/>
          <w:color w:val="auto"/>
          <w:szCs w:val="28"/>
          <w:highlight w:val="none"/>
          <w:lang w:val="en-US" w:eastAsia="zh-CN"/>
        </w:rPr>
        <w:t>、</w:t>
      </w:r>
      <w:r>
        <w:rPr>
          <w:rFonts w:hint="eastAsia" w:ascii="仿宋" w:hAnsi="仿宋" w:eastAsia="仿宋"/>
          <w:color w:val="auto"/>
          <w:szCs w:val="28"/>
          <w:highlight w:val="none"/>
          <w:lang w:val="en-US" w:eastAsia="zh-CN"/>
        </w:rPr>
        <w:t>乙方的权利和义务</w:t>
      </w:r>
    </w:p>
    <w:p>
      <w:pPr>
        <w:rPr>
          <w:rFonts w:hint="default" w:ascii="仿宋" w:hAnsi="仿宋" w:eastAsia="仿宋" w:cs="仿宋"/>
          <w:b w:val="0"/>
          <w:bCs w:val="0"/>
          <w:color w:val="auto"/>
          <w:kern w:val="2"/>
          <w:sz w:val="21"/>
          <w:szCs w:val="28"/>
          <w:highlight w:val="none"/>
          <w:lang w:val="en-US" w:eastAsia="zh-CN" w:bidi="ar-SA"/>
        </w:rPr>
      </w:pPr>
      <w:r>
        <w:rPr>
          <w:rFonts w:hint="eastAsia" w:ascii="仿宋" w:hAnsi="仿宋" w:eastAsia="仿宋" w:cs="仿宋"/>
          <w:b w:val="0"/>
          <w:bCs w:val="0"/>
          <w:color w:val="auto"/>
          <w:kern w:val="2"/>
          <w:sz w:val="21"/>
          <w:szCs w:val="28"/>
          <w:highlight w:val="none"/>
          <w:lang w:val="en-US" w:eastAsia="zh-CN" w:bidi="ar-SA"/>
        </w:rPr>
        <w:t>①乙方应在国家、行业、地方技术标准规范和规定下开展工作。</w:t>
      </w:r>
    </w:p>
    <w:p>
      <w:pPr>
        <w:rPr>
          <w:rFonts w:hint="eastAsia" w:ascii="仿宋" w:hAnsi="仿宋" w:eastAsia="仿宋"/>
          <w:color w:val="auto"/>
          <w:szCs w:val="28"/>
          <w:highlight w:val="none"/>
          <w:lang w:val="en-US" w:eastAsia="zh-CN"/>
        </w:rPr>
      </w:pPr>
      <w:r>
        <w:rPr>
          <w:rFonts w:hint="eastAsia"/>
          <w:color w:val="auto"/>
          <w:szCs w:val="28"/>
          <w:highlight w:val="none"/>
          <w:lang w:val="en-US" w:eastAsia="zh-CN"/>
        </w:rPr>
        <w:t>②</w:t>
      </w:r>
      <w:r>
        <w:rPr>
          <w:rFonts w:hint="eastAsia" w:ascii="仿宋" w:hAnsi="仿宋" w:eastAsia="仿宋"/>
          <w:color w:val="auto"/>
          <w:szCs w:val="28"/>
          <w:highlight w:val="none"/>
          <w:lang w:val="en-US" w:eastAsia="zh-CN"/>
        </w:rPr>
        <w:t>乙方</w:t>
      </w:r>
      <w:r>
        <w:rPr>
          <w:rFonts w:hint="eastAsia"/>
          <w:color w:val="auto"/>
          <w:szCs w:val="28"/>
          <w:highlight w:val="none"/>
          <w:lang w:val="en-US" w:eastAsia="zh-CN"/>
        </w:rPr>
        <w:t>应在成果交付期限内完成成果物的交付</w:t>
      </w:r>
      <w:r>
        <w:rPr>
          <w:rFonts w:hint="eastAsia" w:ascii="仿宋" w:hAnsi="仿宋" w:eastAsia="仿宋"/>
          <w:color w:val="auto"/>
          <w:szCs w:val="28"/>
          <w:highlight w:val="none"/>
          <w:lang w:val="en-US" w:eastAsia="zh-CN"/>
        </w:rPr>
        <w:t>。</w:t>
      </w:r>
    </w:p>
    <w:p>
      <w:pPr>
        <w:rPr>
          <w:rFonts w:hint="eastAsia" w:ascii="仿宋" w:hAnsi="仿宋" w:eastAsia="仿宋"/>
          <w:color w:val="auto"/>
          <w:szCs w:val="28"/>
          <w:highlight w:val="none"/>
          <w:lang w:val="en-US" w:eastAsia="zh-CN"/>
        </w:rPr>
      </w:pPr>
      <w:r>
        <w:rPr>
          <w:rFonts w:hint="eastAsia" w:ascii="仿宋" w:hAnsi="仿宋" w:eastAsia="仿宋"/>
          <w:color w:val="auto"/>
          <w:szCs w:val="28"/>
          <w:highlight w:val="none"/>
          <w:lang w:val="en-US" w:eastAsia="zh-CN"/>
        </w:rPr>
        <w:t>③乙方向甲方</w:t>
      </w:r>
      <w:r>
        <w:rPr>
          <w:rFonts w:hint="eastAsia"/>
          <w:color w:val="auto"/>
          <w:szCs w:val="28"/>
          <w:highlight w:val="none"/>
          <w:lang w:val="en-US" w:eastAsia="zh-CN"/>
        </w:rPr>
        <w:t>交付的成果物</w:t>
      </w:r>
      <w:r>
        <w:rPr>
          <w:rFonts w:hint="eastAsia" w:ascii="仿宋" w:hAnsi="仿宋" w:eastAsia="仿宋"/>
          <w:color w:val="auto"/>
          <w:szCs w:val="28"/>
          <w:highlight w:val="none"/>
          <w:lang w:val="en-US" w:eastAsia="zh-CN"/>
        </w:rPr>
        <w:t>，应</w:t>
      </w:r>
      <w:r>
        <w:rPr>
          <w:rFonts w:hint="eastAsia"/>
          <w:color w:val="auto"/>
          <w:szCs w:val="28"/>
          <w:highlight w:val="none"/>
          <w:lang w:val="en-US" w:eastAsia="zh-CN"/>
        </w:rPr>
        <w:t>满足服务质量要求</w:t>
      </w:r>
      <w:r>
        <w:rPr>
          <w:rFonts w:hint="eastAsia" w:ascii="仿宋" w:hAnsi="仿宋" w:eastAsia="仿宋"/>
          <w:color w:val="auto"/>
          <w:szCs w:val="28"/>
          <w:highlight w:val="none"/>
          <w:lang w:val="en-US" w:eastAsia="zh-CN"/>
        </w:rPr>
        <w:t>。</w:t>
      </w:r>
    </w:p>
    <w:p>
      <w:pPr>
        <w:rPr>
          <w:rFonts w:hint="eastAsia" w:ascii="仿宋" w:hAnsi="仿宋" w:eastAsia="仿宋"/>
          <w:color w:val="auto"/>
          <w:szCs w:val="28"/>
          <w:highlight w:val="none"/>
          <w:lang w:val="en-US" w:eastAsia="zh-CN"/>
        </w:rPr>
      </w:pPr>
      <w:r>
        <w:rPr>
          <w:rFonts w:hint="eastAsia" w:ascii="仿宋" w:hAnsi="仿宋" w:eastAsia="仿宋"/>
          <w:color w:val="auto"/>
          <w:szCs w:val="28"/>
          <w:highlight w:val="none"/>
          <w:lang w:val="en-US" w:eastAsia="zh-CN"/>
        </w:rPr>
        <w:t>④乙方有义务和责任向甲方及时报告项目</w:t>
      </w:r>
      <w:r>
        <w:rPr>
          <w:rFonts w:hint="eastAsia"/>
          <w:color w:val="auto"/>
          <w:szCs w:val="28"/>
          <w:highlight w:val="none"/>
          <w:lang w:val="en-US" w:eastAsia="zh-CN"/>
        </w:rPr>
        <w:t>服务</w:t>
      </w:r>
      <w:r>
        <w:rPr>
          <w:rFonts w:hint="eastAsia" w:ascii="仿宋" w:hAnsi="仿宋" w:eastAsia="仿宋"/>
          <w:color w:val="auto"/>
          <w:szCs w:val="28"/>
          <w:highlight w:val="none"/>
          <w:lang w:val="en-US" w:eastAsia="zh-CN"/>
        </w:rPr>
        <w:t>过程中的有关情况和问题，解决与本项目</w:t>
      </w:r>
      <w:r>
        <w:rPr>
          <w:rFonts w:hint="eastAsia"/>
          <w:color w:val="auto"/>
          <w:szCs w:val="28"/>
          <w:highlight w:val="none"/>
          <w:lang w:val="en-US" w:eastAsia="zh-CN"/>
        </w:rPr>
        <w:t>服务</w:t>
      </w:r>
      <w:r>
        <w:rPr>
          <w:rFonts w:hint="eastAsia" w:ascii="仿宋" w:hAnsi="仿宋" w:eastAsia="仿宋"/>
          <w:color w:val="auto"/>
          <w:szCs w:val="28"/>
          <w:highlight w:val="none"/>
          <w:lang w:val="en-US" w:eastAsia="zh-CN"/>
        </w:rPr>
        <w:t>有关的问题。</w:t>
      </w:r>
    </w:p>
    <w:p>
      <w:pPr>
        <w:rPr>
          <w:rFonts w:hint="eastAsia" w:ascii="仿宋" w:hAnsi="仿宋" w:eastAsia="仿宋"/>
          <w:color w:val="auto"/>
          <w:szCs w:val="28"/>
          <w:highlight w:val="none"/>
          <w:lang w:val="en-US" w:eastAsia="zh-CN"/>
        </w:rPr>
      </w:pPr>
      <w:r>
        <w:rPr>
          <w:rFonts w:hint="eastAsia" w:ascii="仿宋" w:hAnsi="仿宋" w:eastAsia="仿宋"/>
          <w:color w:val="auto"/>
          <w:szCs w:val="28"/>
          <w:highlight w:val="none"/>
          <w:lang w:val="en-US" w:eastAsia="zh-CN"/>
        </w:rPr>
        <w:t>⑤协议执行期间，乙方应做好前期调研工作，确定甲方具体需求后开展工作，若因甲方原因中途变更工作要求</w:t>
      </w:r>
      <w:r>
        <w:rPr>
          <w:rFonts w:hint="eastAsia"/>
          <w:color w:val="auto"/>
          <w:szCs w:val="28"/>
          <w:highlight w:val="none"/>
          <w:lang w:val="en-US" w:eastAsia="zh-CN"/>
        </w:rPr>
        <w:t>，</w:t>
      </w:r>
      <w:r>
        <w:rPr>
          <w:rFonts w:hint="eastAsia" w:ascii="仿宋" w:hAnsi="仿宋" w:eastAsia="仿宋"/>
          <w:color w:val="auto"/>
          <w:szCs w:val="28"/>
          <w:highlight w:val="none"/>
          <w:lang w:val="en-US" w:eastAsia="zh-CN"/>
        </w:rPr>
        <w:t>因此影响</w:t>
      </w:r>
      <w:r>
        <w:rPr>
          <w:rFonts w:hint="eastAsia"/>
          <w:color w:val="auto"/>
          <w:szCs w:val="28"/>
          <w:highlight w:val="none"/>
          <w:lang w:val="en-US" w:eastAsia="zh-CN"/>
        </w:rPr>
        <w:t>交付</w:t>
      </w:r>
      <w:r>
        <w:rPr>
          <w:rFonts w:hint="eastAsia" w:ascii="仿宋" w:hAnsi="仿宋" w:eastAsia="仿宋"/>
          <w:color w:val="auto"/>
          <w:szCs w:val="28"/>
          <w:highlight w:val="none"/>
          <w:lang w:val="en-US" w:eastAsia="zh-CN"/>
        </w:rPr>
        <w:t>进度的应适当延长</w:t>
      </w:r>
      <w:r>
        <w:rPr>
          <w:rFonts w:hint="eastAsia"/>
          <w:color w:val="auto"/>
          <w:szCs w:val="28"/>
          <w:highlight w:val="none"/>
          <w:lang w:val="en-US" w:eastAsia="zh-CN"/>
        </w:rPr>
        <w:t>交付</w:t>
      </w:r>
      <w:r>
        <w:rPr>
          <w:rFonts w:hint="eastAsia" w:ascii="仿宋" w:hAnsi="仿宋" w:eastAsia="仿宋"/>
          <w:color w:val="auto"/>
          <w:szCs w:val="28"/>
          <w:highlight w:val="none"/>
          <w:lang w:val="en-US" w:eastAsia="zh-CN"/>
        </w:rPr>
        <w:t>期</w:t>
      </w:r>
      <w:r>
        <w:rPr>
          <w:rFonts w:hint="eastAsia"/>
          <w:color w:val="auto"/>
          <w:szCs w:val="28"/>
          <w:highlight w:val="none"/>
          <w:lang w:val="en-US" w:eastAsia="zh-CN"/>
        </w:rPr>
        <w:t>限</w:t>
      </w:r>
      <w:r>
        <w:rPr>
          <w:rFonts w:hint="eastAsia" w:ascii="仿宋" w:hAnsi="仿宋" w:eastAsia="仿宋"/>
          <w:color w:val="auto"/>
          <w:szCs w:val="28"/>
          <w:highlight w:val="none"/>
          <w:lang w:val="en-US" w:eastAsia="zh-CN"/>
        </w:rPr>
        <w:t>。</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项目维护及质保</w:t>
      </w:r>
    </w:p>
    <w:p>
      <w:pPr>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lang w:val="en-US" w:eastAsia="zh-CN"/>
        </w:rPr>
        <w:t>1、质保期</w:t>
      </w:r>
      <w:r>
        <w:rPr>
          <w:rFonts w:hint="eastAsia" w:cs="仿宋"/>
          <w:color w:val="auto"/>
          <w:szCs w:val="28"/>
          <w:highlight w:val="none"/>
          <w:lang w:val="en-US" w:eastAsia="zh-CN"/>
        </w:rPr>
        <w:t>/运维期</w:t>
      </w:r>
      <w:r>
        <w:rPr>
          <w:rFonts w:hint="eastAsia" w:ascii="仿宋" w:hAnsi="仿宋" w:eastAsia="仿宋" w:cs="仿宋"/>
          <w:color w:val="auto"/>
          <w:szCs w:val="28"/>
          <w:highlight w:val="none"/>
          <w:lang w:val="en-US" w:eastAsia="zh-CN"/>
        </w:rPr>
        <w:t>：项目整体质保</w:t>
      </w:r>
      <w:r>
        <w:rPr>
          <w:rFonts w:hint="eastAsia" w:ascii="仿宋" w:hAnsi="仿宋" w:eastAsia="仿宋" w:cs="仿宋"/>
          <w:color w:val="auto"/>
          <w:szCs w:val="28"/>
          <w:highlight w:val="none"/>
          <w:u w:val="single"/>
          <w:lang w:val="en-US" w:eastAsia="zh-CN"/>
        </w:rPr>
        <w:t xml:space="preserve"> </w:t>
      </w:r>
      <w:r>
        <w:rPr>
          <w:rFonts w:hint="eastAsia" w:cs="仿宋"/>
          <w:color w:val="auto"/>
          <w:szCs w:val="28"/>
          <w:highlight w:val="none"/>
          <w:u w:val="single"/>
          <w:lang w:val="en-US" w:eastAsia="zh-CN"/>
        </w:rPr>
        <w:t>1</w:t>
      </w: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lang w:val="en-US" w:eastAsia="zh-CN"/>
        </w:rPr>
        <w:t>年，质保期为自</w:t>
      </w:r>
      <w:r>
        <w:rPr>
          <w:rFonts w:hint="eastAsia" w:cs="仿宋"/>
          <w:color w:val="auto"/>
          <w:szCs w:val="28"/>
          <w:highlight w:val="none"/>
          <w:lang w:val="en-US" w:eastAsia="zh-CN"/>
        </w:rPr>
        <w:t>合同签订之日</w:t>
      </w:r>
      <w:r>
        <w:rPr>
          <w:rFonts w:hint="eastAsia" w:ascii="仿宋" w:hAnsi="仿宋" w:eastAsia="仿宋" w:cs="仿宋"/>
          <w:color w:val="auto"/>
          <w:szCs w:val="28"/>
          <w:highlight w:val="none"/>
          <w:lang w:val="en-US" w:eastAsia="zh-CN"/>
        </w:rPr>
        <w:t>起</w:t>
      </w:r>
      <w:r>
        <w:rPr>
          <w:rFonts w:hint="eastAsia" w:cs="仿宋"/>
          <w:color w:val="auto"/>
          <w:szCs w:val="28"/>
          <w:highlight w:val="none"/>
          <w:lang w:val="en-US" w:eastAsia="zh-CN"/>
        </w:rPr>
        <w:t>计算</w:t>
      </w:r>
      <w:r>
        <w:rPr>
          <w:rFonts w:hint="eastAsia" w:ascii="仿宋" w:hAnsi="仿宋" w:eastAsia="仿宋" w:cs="仿宋"/>
          <w:color w:val="auto"/>
          <w:szCs w:val="28"/>
          <w:highlight w:val="none"/>
          <w:lang w:val="en-US" w:eastAsia="zh-CN"/>
        </w:rPr>
        <w:t>。</w:t>
      </w:r>
    </w:p>
    <w:p>
      <w:pPr>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lang w:val="en-US" w:eastAsia="zh-CN"/>
        </w:rPr>
        <w:t>2、售后服务要求：</w:t>
      </w:r>
    </w:p>
    <w:p>
      <w:pPr>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lang w:val="en-US" w:eastAsia="zh-CN"/>
        </w:rPr>
        <w:t>2.1、在服务期内，供应商提供7*24小时服务响应，</w:t>
      </w:r>
      <w:r>
        <w:rPr>
          <w:rFonts w:hint="eastAsia" w:cs="仿宋"/>
          <w:color w:val="auto"/>
          <w:szCs w:val="28"/>
          <w:highlight w:val="none"/>
          <w:lang w:val="en-US" w:eastAsia="zh-CN"/>
        </w:rPr>
        <w:t>1</w:t>
      </w:r>
      <w:r>
        <w:rPr>
          <w:rFonts w:hint="eastAsia" w:ascii="仿宋" w:hAnsi="仿宋" w:eastAsia="仿宋" w:cs="仿宋"/>
          <w:color w:val="auto"/>
          <w:szCs w:val="28"/>
          <w:highlight w:val="none"/>
          <w:lang w:val="en-US" w:eastAsia="zh-CN"/>
        </w:rPr>
        <w:t>小时内响应，</w:t>
      </w:r>
      <w:r>
        <w:rPr>
          <w:rFonts w:hint="eastAsia" w:cs="仿宋"/>
          <w:color w:val="auto"/>
          <w:szCs w:val="28"/>
          <w:highlight w:val="none"/>
          <w:lang w:val="en-US" w:eastAsia="zh-CN"/>
        </w:rPr>
        <w:t>2</w:t>
      </w:r>
      <w:r>
        <w:rPr>
          <w:rFonts w:hint="eastAsia" w:ascii="仿宋" w:hAnsi="仿宋" w:eastAsia="仿宋" w:cs="仿宋"/>
          <w:color w:val="auto"/>
          <w:szCs w:val="28"/>
          <w:highlight w:val="none"/>
          <w:lang w:val="en-US" w:eastAsia="zh-CN"/>
        </w:rPr>
        <w:t>小时解决问题;免费提供以下技术支持，包括:上门服务、现场服务、电话技术支持、电子邮件技术支持、网络远程技术支持。</w:t>
      </w:r>
    </w:p>
    <w:p>
      <w:pPr>
        <w:rPr>
          <w:rFonts w:hint="default"/>
          <w:color w:val="auto"/>
          <w:highlight w:val="none"/>
          <w:lang w:val="en-US" w:eastAsia="zh-CN"/>
        </w:rPr>
      </w:pPr>
      <w:r>
        <w:rPr>
          <w:rFonts w:hint="eastAsia" w:ascii="仿宋" w:hAnsi="仿宋" w:eastAsia="仿宋" w:cs="仿宋"/>
          <w:color w:val="auto"/>
          <w:szCs w:val="28"/>
          <w:highlight w:val="none"/>
          <w:lang w:val="en-US" w:eastAsia="zh-CN"/>
        </w:rPr>
        <w:t>2.2、服务期内非人为因素的设备故障，供应商负责包修，如3日内不能修复完成，供应商提供不低于故障设备规格型号设备供采购人免费使用，直至故障设备修复。</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违约责任</w:t>
      </w:r>
    </w:p>
    <w:p>
      <w:pPr>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1、若甲方未按合同约定如期付款，甲方应自逾期之日起，每逾期一天向乙方支付合同总金额的千分之五，根据实际逾期天数累计计算但不超过合同金额的30%</w:t>
      </w:r>
      <w:r>
        <w:rPr>
          <w:rFonts w:hint="eastAsia" w:cs="仿宋"/>
          <w:color w:val="auto"/>
          <w:szCs w:val="28"/>
          <w:highlight w:val="none"/>
          <w:lang w:eastAsia="zh-CN"/>
        </w:rPr>
        <w:t>。</w:t>
      </w:r>
    </w:p>
    <w:p>
      <w:pPr>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2、若非甲方原因，乙方逾期</w:t>
      </w:r>
      <w:r>
        <w:rPr>
          <w:rFonts w:hint="eastAsia" w:cs="仿宋"/>
          <w:color w:val="auto"/>
          <w:szCs w:val="28"/>
          <w:highlight w:val="none"/>
          <w:lang w:val="en-US" w:eastAsia="zh-CN"/>
        </w:rPr>
        <w:t>交付</w:t>
      </w:r>
      <w:r>
        <w:rPr>
          <w:rFonts w:hint="eastAsia" w:ascii="仿宋" w:hAnsi="仿宋" w:eastAsia="仿宋" w:cs="仿宋"/>
          <w:color w:val="auto"/>
          <w:szCs w:val="28"/>
          <w:highlight w:val="none"/>
        </w:rPr>
        <w:t>的，乙方应自逾期之日起，每逾期一天向</w:t>
      </w:r>
      <w:r>
        <w:rPr>
          <w:rFonts w:hint="eastAsia" w:cs="仿宋"/>
          <w:color w:val="auto"/>
          <w:szCs w:val="28"/>
          <w:highlight w:val="none"/>
          <w:lang w:val="en-US" w:eastAsia="zh-CN"/>
        </w:rPr>
        <w:t>甲</w:t>
      </w:r>
      <w:r>
        <w:rPr>
          <w:rFonts w:hint="eastAsia" w:ascii="仿宋" w:hAnsi="仿宋" w:eastAsia="仿宋" w:cs="仿宋"/>
          <w:color w:val="auto"/>
          <w:szCs w:val="28"/>
          <w:highlight w:val="none"/>
        </w:rPr>
        <w:t>方支付合同总金额的千分之五，乙方逾期超过三十天以上的，甲方有权解除合同，乙方应按照合同总金额的30%向甲方支付违约金，同时赔偿给甲方造成的损失。</w:t>
      </w:r>
    </w:p>
    <w:p>
      <w:pPr>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lang w:val="en-US" w:eastAsia="zh-CN"/>
        </w:rPr>
        <w:t>3、项目服务期内，乙方应7*24小时保障服务质量，满足服务质量要求</w:t>
      </w:r>
      <w:r>
        <w:rPr>
          <w:rFonts w:hint="eastAsia" w:cs="仿宋"/>
          <w:color w:val="auto"/>
          <w:szCs w:val="28"/>
          <w:highlight w:val="none"/>
          <w:lang w:val="en-US" w:eastAsia="zh-CN"/>
        </w:rPr>
        <w:t>；</w:t>
      </w:r>
      <w:r>
        <w:rPr>
          <w:rFonts w:hint="eastAsia" w:ascii="仿宋" w:hAnsi="仿宋" w:eastAsia="仿宋" w:cs="仿宋"/>
          <w:color w:val="auto"/>
          <w:szCs w:val="28"/>
          <w:highlight w:val="none"/>
          <w:lang w:val="en-US" w:eastAsia="zh-CN"/>
        </w:rPr>
        <w:t>发生故障及时响应、及时解决，满足服务响应要求</w:t>
      </w:r>
      <w:r>
        <w:rPr>
          <w:rFonts w:hint="eastAsia" w:cs="仿宋"/>
          <w:color w:val="auto"/>
          <w:szCs w:val="28"/>
          <w:highlight w:val="none"/>
          <w:lang w:val="en-US" w:eastAsia="zh-CN"/>
        </w:rPr>
        <w:t>；</w:t>
      </w:r>
      <w:r>
        <w:rPr>
          <w:rFonts w:hint="eastAsia" w:ascii="仿宋" w:hAnsi="仿宋" w:eastAsia="仿宋" w:cs="仿宋"/>
          <w:color w:val="auto"/>
          <w:szCs w:val="28"/>
          <w:highlight w:val="none"/>
          <w:lang w:val="en-US" w:eastAsia="zh-CN"/>
        </w:rPr>
        <w:t>如果乙方因其自身原因导致发生故障，且未按照服务响应要求及时解决故障，该情况发生3次后，</w:t>
      </w:r>
      <w:r>
        <w:rPr>
          <w:rFonts w:hint="eastAsia" w:cs="仿宋"/>
          <w:color w:val="auto"/>
          <w:szCs w:val="28"/>
          <w:highlight w:val="none"/>
          <w:lang w:val="en-US" w:eastAsia="zh-CN"/>
        </w:rPr>
        <w:t>每增加1次，</w:t>
      </w:r>
      <w:r>
        <w:rPr>
          <w:rFonts w:hint="eastAsia" w:ascii="仿宋" w:hAnsi="仿宋" w:eastAsia="仿宋" w:cs="仿宋"/>
          <w:color w:val="auto"/>
          <w:szCs w:val="28"/>
          <w:highlight w:val="none"/>
        </w:rPr>
        <w:t>甲方有权</w:t>
      </w:r>
      <w:r>
        <w:rPr>
          <w:rFonts w:hint="eastAsia" w:cs="仿宋"/>
          <w:color w:val="auto"/>
          <w:szCs w:val="28"/>
          <w:highlight w:val="none"/>
          <w:lang w:val="en-US" w:eastAsia="zh-CN"/>
        </w:rPr>
        <w:t>扣除合同款的5%（例如该情况发生了23次，甲方有权扣除合同款的100%），</w:t>
      </w:r>
      <w:r>
        <w:rPr>
          <w:rFonts w:hint="eastAsia" w:ascii="仿宋" w:hAnsi="仿宋" w:eastAsia="仿宋" w:cs="仿宋"/>
          <w:color w:val="auto"/>
          <w:szCs w:val="28"/>
          <w:highlight w:val="none"/>
          <w:lang w:val="en-US" w:eastAsia="zh-CN"/>
        </w:rPr>
        <w:t>由于是乙方因素造成的损害，给甲方造成了经济和声誉上的严重影响，乙方应按照合同总金额的30%向甲方支付违约金，同时赔偿给甲方造成的损失。</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不可抗力</w:t>
      </w:r>
    </w:p>
    <w:p>
      <w:pPr>
        <w:rPr>
          <w:rFonts w:hint="eastAsia" w:eastAsia="仿宋" w:cs="仿宋"/>
          <w:color w:val="auto"/>
          <w:szCs w:val="28"/>
          <w:highlight w:val="none"/>
          <w:lang w:val="en-US" w:eastAsia="zh-CN"/>
        </w:rPr>
      </w:pPr>
      <w:r>
        <w:rPr>
          <w:rFonts w:hint="eastAsia" w:ascii="仿宋" w:hAnsi="仿宋" w:eastAsia="仿宋" w:cs="仿宋"/>
          <w:color w:val="auto"/>
          <w:szCs w:val="28"/>
          <w:highlight w:val="none"/>
        </w:rPr>
        <w:t>如果双方中的任何一方因为不可抗力，如：战争、火灾、台风、洪水、地震等双方共同认为属于不可抗力，且足以引起被迫停止或推迟协议执行的原因，则协议执行相应顺延，顺延的时间等于不可抗力发生作用的时间</w:t>
      </w:r>
      <w:r>
        <w:rPr>
          <w:rFonts w:hint="eastAsia" w:cs="仿宋"/>
          <w:color w:val="auto"/>
          <w:szCs w:val="28"/>
          <w:highlight w:val="none"/>
          <w:lang w:eastAsia="zh-CN"/>
        </w:rPr>
        <w:t>。</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合同争议的解决方式</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合同其他条款中未规定的责任执行本条的规定。违约方给对方造成损失的，需按实际情况赔偿，出现争议时，双方应力争协商解决，必要时可向甲方所在地人民法院提起诉讼。争议解决期间，与争议无涉的其他合同条款，应当继续履行。</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合同的变更和终止</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1</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合同经双方签署生效后，双方必需严格遵守。任何一方不得擅自变更合同的内容，确需变更的，双方应经协商一致签订书面补充协议予以约定。</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2</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在项目执行过程中任何一方提出终止合同，须向另一方以书面形式提出，经双方同意办理清算手续，订立终止合同后，可视为本合同解除。</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保密</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1</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各方在此同意将不向任何第三方透露本合同（包括附件）的任何部分，或任何一方可能谈判的其它协议，或达成上述协议的保密谈判细节，或任何一方可能传递的业务或秘密，除非法律要求，或一方为履行上述协议所规定的特定义务有透露信息资料的必要。在有必要透露信息资料时，应事先获得其他方的书面同意，而相对方不得无理地拖延给予书面同意。</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2</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乙方应告知并采取必要的有效措施保证其参与本项目之雇员在职中或离职后都能够履行本合同项下的保密义务。</w:t>
      </w:r>
    </w:p>
    <w:p>
      <w:pPr>
        <w:rPr>
          <w:rFonts w:hint="eastAsia"/>
          <w:color w:val="auto"/>
          <w:highlight w:val="none"/>
        </w:rPr>
      </w:pPr>
      <w:r>
        <w:rPr>
          <w:rFonts w:hint="eastAsia" w:ascii="仿宋" w:hAnsi="仿宋" w:eastAsia="仿宋" w:cs="仿宋"/>
          <w:color w:val="auto"/>
          <w:spacing w:val="-4"/>
          <w:szCs w:val="28"/>
          <w:highlight w:val="none"/>
        </w:rPr>
        <w:t>3</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上述条款项下的义务应在本合同终止后以及甲方公司因故终止、解散或清算后的三年期限内仍然有效。</w:t>
      </w:r>
    </w:p>
    <w:p>
      <w:pPr>
        <w:numPr>
          <w:ilvl w:val="0"/>
          <w:numId w:val="6"/>
        </w:numPr>
        <w:ind w:left="425" w:leftChars="0" w:firstLine="0" w:firstLineChars="0"/>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t>附则</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1</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本合同规定由一方向另一方发出的任何通知或书面通讯，包括但不限于按本合同规定发出的任何和全部要约、书信或通知，均采用中文书写，以快递方式寄出，寄出日期后的7日应被视为收件日期。一切通知和通讯均应发往本合同的首页所载明的地址及联系电话，直至向另一方发出书面通知更改为止。</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2</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 xml:space="preserve"> 本合同未尽事宜，双方可以另行签署补充协议。</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3</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 xml:space="preserve"> 本合同正本一式</w:t>
      </w:r>
      <w:r>
        <w:rPr>
          <w:rFonts w:hint="eastAsia" w:cs="仿宋"/>
          <w:color w:val="auto"/>
          <w:spacing w:val="-4"/>
          <w:szCs w:val="28"/>
          <w:highlight w:val="none"/>
          <w:lang w:val="en-US" w:eastAsia="zh-CN"/>
        </w:rPr>
        <w:t>捌</w:t>
      </w:r>
      <w:r>
        <w:rPr>
          <w:rFonts w:hint="eastAsia" w:ascii="仿宋" w:hAnsi="仿宋" w:eastAsia="仿宋" w:cs="仿宋"/>
          <w:color w:val="auto"/>
          <w:spacing w:val="-4"/>
          <w:szCs w:val="28"/>
          <w:highlight w:val="none"/>
        </w:rPr>
        <w:t>份，甲、乙双方各执</w:t>
      </w:r>
      <w:r>
        <w:rPr>
          <w:rFonts w:hint="eastAsia" w:cs="仿宋"/>
          <w:color w:val="auto"/>
          <w:spacing w:val="-4"/>
          <w:szCs w:val="28"/>
          <w:highlight w:val="none"/>
          <w:lang w:val="en-US" w:eastAsia="zh-CN"/>
        </w:rPr>
        <w:t>肆</w:t>
      </w:r>
      <w:r>
        <w:rPr>
          <w:rFonts w:hint="eastAsia" w:ascii="仿宋" w:hAnsi="仿宋" w:eastAsia="仿宋" w:cs="仿宋"/>
          <w:color w:val="auto"/>
          <w:spacing w:val="-4"/>
          <w:szCs w:val="28"/>
          <w:highlight w:val="none"/>
        </w:rPr>
        <w:t>份，各份均具有同等法律效力。</w:t>
      </w:r>
    </w:p>
    <w:p>
      <w:pPr>
        <w:rPr>
          <w:rFonts w:hint="eastAsia" w:ascii="仿宋" w:hAnsi="仿宋" w:eastAsia="仿宋" w:cs="仿宋"/>
          <w:color w:val="auto"/>
          <w:spacing w:val="-4"/>
          <w:szCs w:val="28"/>
          <w:highlight w:val="none"/>
        </w:rPr>
      </w:pPr>
      <w:r>
        <w:rPr>
          <w:rFonts w:hint="eastAsia" w:ascii="仿宋" w:hAnsi="仿宋" w:eastAsia="仿宋" w:cs="仿宋"/>
          <w:color w:val="auto"/>
          <w:spacing w:val="-4"/>
          <w:szCs w:val="28"/>
          <w:highlight w:val="none"/>
        </w:rPr>
        <w:t>4</w:t>
      </w:r>
      <w:r>
        <w:rPr>
          <w:rFonts w:hint="eastAsia" w:ascii="仿宋" w:hAnsi="仿宋" w:eastAsia="仿宋" w:cs="仿宋"/>
          <w:color w:val="auto"/>
          <w:spacing w:val="-4"/>
          <w:szCs w:val="28"/>
          <w:highlight w:val="none"/>
          <w:lang w:eastAsia="zh-CN"/>
        </w:rPr>
        <w:t>、</w:t>
      </w:r>
      <w:r>
        <w:rPr>
          <w:rFonts w:hint="eastAsia" w:ascii="仿宋" w:hAnsi="仿宋" w:eastAsia="仿宋" w:cs="仿宋"/>
          <w:color w:val="auto"/>
          <w:spacing w:val="-4"/>
          <w:szCs w:val="28"/>
          <w:highlight w:val="none"/>
        </w:rPr>
        <w:t xml:space="preserve"> 本合同自甲、乙双方法定代表人或授权代表签字并加盖公章或合同专用章之日起生效。</w:t>
      </w:r>
    </w:p>
    <w:p>
      <w:pPr>
        <w:widowControl/>
        <w:jc w:val="center"/>
        <w:rPr>
          <w:rFonts w:ascii="Times New Roman" w:hAnsi="Times New Roman" w:eastAsia="黑体" w:cs="Times New Roman"/>
          <w:b/>
          <w:bCs/>
          <w:color w:val="auto"/>
          <w:sz w:val="44"/>
          <w:szCs w:val="44"/>
          <w:highlight w:val="none"/>
        </w:rPr>
      </w:pPr>
    </w:p>
    <w:p>
      <w:pPr>
        <w:pStyle w:val="2"/>
        <w:rPr>
          <w:rFonts w:ascii="Times New Roman" w:hAnsi="Times New Roman" w:eastAsia="黑体" w:cs="Times New Roman"/>
          <w:b/>
          <w:bCs/>
          <w:color w:val="auto"/>
          <w:sz w:val="44"/>
          <w:szCs w:val="44"/>
          <w:highlight w:val="none"/>
        </w:rPr>
      </w:pPr>
    </w:p>
    <w:p>
      <w:pPr>
        <w:pStyle w:val="5"/>
        <w:rPr>
          <w:rFonts w:ascii="Times New Roman" w:hAnsi="Times New Roman" w:eastAsia="黑体" w:cs="Times New Roman"/>
          <w:b/>
          <w:bCs/>
          <w:color w:val="auto"/>
          <w:sz w:val="44"/>
          <w:szCs w:val="44"/>
          <w:highlight w:val="none"/>
        </w:rPr>
      </w:pPr>
    </w:p>
    <w:p>
      <w:pPr>
        <w:rPr>
          <w:rFonts w:ascii="Times New Roman" w:hAnsi="Times New Roman" w:eastAsia="黑体" w:cs="Times New Roman"/>
          <w:b/>
          <w:bCs/>
          <w:color w:val="auto"/>
          <w:sz w:val="44"/>
          <w:szCs w:val="44"/>
          <w:highlight w:val="none"/>
        </w:rPr>
      </w:pPr>
    </w:p>
    <w:p>
      <w:pPr>
        <w:pStyle w:val="2"/>
        <w:rPr>
          <w:rFonts w:ascii="Times New Roman" w:hAnsi="Times New Roman" w:eastAsia="黑体" w:cs="Times New Roman"/>
          <w:b/>
          <w:bCs/>
          <w:color w:val="auto"/>
          <w:sz w:val="44"/>
          <w:szCs w:val="44"/>
          <w:highlight w:val="none"/>
        </w:rPr>
      </w:pPr>
    </w:p>
    <w:p>
      <w:pPr>
        <w:pStyle w:val="5"/>
        <w:rPr>
          <w:rFonts w:ascii="Times New Roman" w:hAnsi="Times New Roman" w:eastAsia="黑体" w:cs="Times New Roman"/>
          <w:b/>
          <w:bCs/>
          <w:color w:val="auto"/>
          <w:sz w:val="44"/>
          <w:szCs w:val="44"/>
          <w:highlight w:val="none"/>
        </w:rPr>
      </w:pPr>
    </w:p>
    <w:p>
      <w:pPr>
        <w:rPr>
          <w:color w:val="auto"/>
          <w:highlight w:val="none"/>
        </w:rPr>
      </w:pPr>
    </w:p>
    <w:p>
      <w:pPr>
        <w:spacing w:line="480" w:lineRule="auto"/>
        <w:jc w:val="center"/>
        <w:rPr>
          <w:rFonts w:ascii="Times New Roman" w:hAnsi="Times New Roman" w:cs="Times New Roman"/>
          <w:b/>
          <w:bCs/>
          <w:color w:val="auto"/>
          <w:sz w:val="28"/>
          <w:szCs w:val="28"/>
          <w:highlight w:val="none"/>
        </w:rPr>
      </w:pPr>
    </w:p>
    <w:p>
      <w:pPr>
        <w:spacing w:line="480" w:lineRule="auto"/>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此页无正文，为合同签署页</w:t>
      </w:r>
      <w:r>
        <w:rPr>
          <w:rFonts w:hint="eastAsia" w:ascii="Times New Roman" w:hAnsi="Times New Roman" w:cs="Times New Roman"/>
          <w:color w:val="auto"/>
          <w:sz w:val="24"/>
          <w:szCs w:val="24"/>
          <w:highlight w:val="none"/>
          <w:lang w:eastAsia="zh-CN"/>
        </w:rPr>
        <w:t>）</w:t>
      </w:r>
    </w:p>
    <w:p>
      <w:pPr>
        <w:spacing w:line="480" w:lineRule="auto"/>
        <w:jc w:val="center"/>
        <w:rPr>
          <w:rFonts w:ascii="Times New Roman" w:hAnsi="Times New Roman" w:cs="Times New Roman"/>
          <w:b/>
          <w:bCs/>
          <w:color w:val="auto"/>
          <w:sz w:val="28"/>
          <w:szCs w:val="28"/>
          <w:highlight w:val="none"/>
        </w:rPr>
      </w:pPr>
    </w:p>
    <w:p>
      <w:pPr>
        <w:spacing w:line="480" w:lineRule="auto"/>
        <w:jc w:val="center"/>
        <w:rPr>
          <w:rFonts w:ascii="Times New Roman" w:hAnsi="Times New Roman" w:cs="Times New Roman"/>
          <w:b/>
          <w:bCs/>
          <w:color w:val="auto"/>
          <w:sz w:val="28"/>
          <w:szCs w:val="28"/>
          <w:highlight w:val="none"/>
        </w:rPr>
      </w:pPr>
      <w:r>
        <w:rPr>
          <w:rFonts w:ascii="Times New Roman" w:hAnsi="Times New Roman" w:cs="Times New Roman"/>
          <w:b/>
          <w:bCs/>
          <w:color w:val="auto"/>
          <w:sz w:val="28"/>
          <w:szCs w:val="28"/>
          <w:highlight w:val="none"/>
        </w:rPr>
        <w:t>合同签署页</w:t>
      </w:r>
    </w:p>
    <w:p>
      <w:pPr>
        <w:pStyle w:val="21"/>
        <w:rPr>
          <w:rFonts w:hint="eastAsia"/>
          <w:color w:val="auto"/>
          <w:highlight w:val="none"/>
        </w:rPr>
      </w:pPr>
    </w:p>
    <w:p>
      <w:pPr>
        <w:spacing w:line="48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甲方(盖章)：</w:t>
      </w:r>
    </w:p>
    <w:p>
      <w:pPr>
        <w:spacing w:line="48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法定代表人/授权代表：</w:t>
      </w:r>
    </w:p>
    <w:p>
      <w:pPr>
        <w:spacing w:line="48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签约时间：</w:t>
      </w:r>
    </w:p>
    <w:p>
      <w:pPr>
        <w:spacing w:line="480" w:lineRule="auto"/>
        <w:ind w:left="0" w:leftChars="0" w:firstLine="480" w:firstLineChars="200"/>
        <w:rPr>
          <w:rFonts w:ascii="Times New Roman" w:hAnsi="Times New Roman" w:cs="Times New Roman"/>
          <w:color w:val="auto"/>
          <w:sz w:val="24"/>
          <w:szCs w:val="24"/>
          <w:highlight w:val="none"/>
        </w:rPr>
      </w:pPr>
    </w:p>
    <w:p>
      <w:pPr>
        <w:spacing w:line="480" w:lineRule="auto"/>
        <w:ind w:left="0" w:leftChars="0"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乙方(盖章)：</w:t>
      </w:r>
    </w:p>
    <w:p>
      <w:pPr>
        <w:spacing w:line="48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法定代表人/授权代表：</w:t>
      </w:r>
    </w:p>
    <w:p>
      <w:pPr>
        <w:spacing w:line="48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签约时间： </w:t>
      </w:r>
    </w:p>
    <w:p>
      <w:pPr>
        <w:spacing w:line="240" w:lineRule="auto"/>
        <w:ind w:firstLine="0" w:firstLineChars="0"/>
        <w:contextualSpacing/>
        <w:rPr>
          <w:rFonts w:asciiTheme="minorEastAsia" w:hAnsiTheme="minorEastAsia" w:eastAsiaTheme="minorEastAsia"/>
          <w:color w:val="auto"/>
          <w:highlight w:val="none"/>
        </w:rPr>
        <w:sectPr>
          <w:footerReference r:id="rId11" w:type="default"/>
          <w:pgSz w:w="11906" w:h="16838"/>
          <w:pgMar w:top="1440" w:right="1800" w:bottom="1440" w:left="1800" w:header="851" w:footer="992" w:gutter="0"/>
          <w:pgNumType w:fmt="numberInDash"/>
          <w:cols w:space="720" w:num="1"/>
          <w:docGrid w:type="lines" w:linePitch="312" w:charSpace="0"/>
        </w:sectPr>
      </w:pPr>
    </w:p>
    <w:p>
      <w:pPr>
        <w:pStyle w:val="7"/>
        <w:rPr>
          <w:rFonts w:hint="eastAsia" w:asciiTheme="minorEastAsia" w:hAnsiTheme="minorEastAsia" w:eastAsiaTheme="minorEastAsia"/>
          <w:color w:val="auto"/>
          <w:highlight w:val="none"/>
          <w:lang w:val="en-US" w:eastAsia="zh-CN"/>
        </w:rPr>
      </w:pPr>
      <w:bookmarkStart w:id="95" w:name="_GoBack"/>
      <w:bookmarkEnd w:id="95"/>
      <w:bookmarkStart w:id="93" w:name="_Toc4665578"/>
      <w:bookmarkStart w:id="94" w:name="_Toc83732594"/>
      <w:r>
        <w:rPr>
          <w:rFonts w:hint="eastAsia" w:asciiTheme="minorEastAsia" w:hAnsiTheme="minorEastAsia" w:eastAsiaTheme="minorEastAsia"/>
          <w:color w:val="auto"/>
          <w:highlight w:val="none"/>
          <w:lang w:val="en-US" w:eastAsia="zh-CN"/>
        </w:rPr>
        <w:t>第六章  响应文件格式</w:t>
      </w:r>
      <w:bookmarkEnd w:id="93"/>
      <w:bookmarkEnd w:id="94"/>
    </w:p>
    <w:p>
      <w:pPr>
        <w:ind w:firstLine="422"/>
        <w:jc w:val="center"/>
        <w:rPr>
          <w:rFonts w:asciiTheme="minorEastAsia" w:hAnsiTheme="minorEastAsia" w:eastAsiaTheme="minorEastAsia"/>
          <w:b/>
          <w:color w:val="auto"/>
          <w:szCs w:val="24"/>
          <w:highlight w:val="none"/>
        </w:rPr>
      </w:pPr>
    </w:p>
    <w:p>
      <w:pPr>
        <w:adjustRightInd w:val="0"/>
        <w:snapToGrid w:val="0"/>
        <w:ind w:firstLine="0" w:firstLineChars="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封面：</w:t>
      </w:r>
    </w:p>
    <w:p>
      <w:pPr>
        <w:tabs>
          <w:tab w:val="left" w:pos="1260"/>
        </w:tabs>
        <w:ind w:firstLine="0" w:firstLineChars="0"/>
        <w:jc w:val="center"/>
        <w:rPr>
          <w:rFonts w:asciiTheme="minorEastAsia" w:hAnsiTheme="minorEastAsia" w:eastAsiaTheme="minorEastAsia"/>
          <w:bCs/>
          <w:color w:val="auto"/>
          <w:spacing w:val="100"/>
          <w:w w:val="110"/>
          <w:sz w:val="36"/>
          <w:szCs w:val="36"/>
          <w:highlight w:val="none"/>
        </w:rPr>
      </w:pPr>
    </w:p>
    <w:p>
      <w:pPr>
        <w:tabs>
          <w:tab w:val="left" w:pos="1260"/>
        </w:tabs>
        <w:ind w:firstLine="0" w:firstLineChars="0"/>
        <w:jc w:val="center"/>
        <w:rPr>
          <w:rFonts w:asciiTheme="minorEastAsia" w:hAnsiTheme="minorEastAsia" w:eastAsiaTheme="minorEastAsia"/>
          <w:bCs/>
          <w:color w:val="auto"/>
          <w:spacing w:val="100"/>
          <w:w w:val="110"/>
          <w:sz w:val="52"/>
          <w:szCs w:val="52"/>
          <w:highlight w:val="none"/>
        </w:rPr>
      </w:pPr>
      <w:r>
        <w:rPr>
          <w:rFonts w:hint="eastAsia" w:asciiTheme="minorEastAsia" w:hAnsiTheme="minorEastAsia" w:eastAsiaTheme="minorEastAsia"/>
          <w:bCs/>
          <w:color w:val="auto"/>
          <w:spacing w:val="100"/>
          <w:w w:val="110"/>
          <w:sz w:val="52"/>
          <w:szCs w:val="52"/>
          <w:highlight w:val="none"/>
        </w:rPr>
        <w:t>竞争性谈判</w:t>
      </w:r>
    </w:p>
    <w:p>
      <w:pPr>
        <w:tabs>
          <w:tab w:val="left" w:pos="1260"/>
        </w:tabs>
        <w:ind w:firstLine="0" w:firstLineChars="0"/>
        <w:jc w:val="center"/>
        <w:rPr>
          <w:rFonts w:asciiTheme="minorEastAsia" w:hAnsiTheme="minorEastAsia" w:eastAsiaTheme="minorEastAsia"/>
          <w:b/>
          <w:color w:val="auto"/>
          <w:spacing w:val="100"/>
          <w:w w:val="110"/>
          <w:sz w:val="100"/>
          <w:szCs w:val="100"/>
          <w:highlight w:val="none"/>
        </w:rPr>
      </w:pPr>
      <w:r>
        <w:rPr>
          <w:rFonts w:hint="eastAsia" w:asciiTheme="minorEastAsia" w:hAnsiTheme="minorEastAsia" w:eastAsiaTheme="minorEastAsia"/>
          <w:b/>
          <w:bCs/>
          <w:color w:val="auto"/>
          <w:spacing w:val="100"/>
          <w:w w:val="110"/>
          <w:sz w:val="100"/>
          <w:szCs w:val="100"/>
          <w:highlight w:val="none"/>
        </w:rPr>
        <w:t>响应文件</w:t>
      </w:r>
    </w:p>
    <w:p>
      <w:pPr>
        <w:ind w:firstLine="0" w:firstLineChars="0"/>
        <w:jc w:val="center"/>
        <w:rPr>
          <w:rFonts w:asciiTheme="minorEastAsia" w:hAnsiTheme="minorEastAsia" w:eastAsiaTheme="minorEastAsia"/>
          <w:color w:val="auto"/>
          <w:sz w:val="44"/>
          <w:highlight w:val="none"/>
        </w:rPr>
      </w:pPr>
      <w:r>
        <w:rPr>
          <w:rFonts w:hint="eastAsia" w:asciiTheme="minorEastAsia" w:hAnsiTheme="minorEastAsia" w:eastAsiaTheme="minorEastAsia"/>
          <w:color w:val="auto"/>
          <w:sz w:val="44"/>
          <w:highlight w:val="none"/>
        </w:rPr>
        <w:t>（正本</w:t>
      </w:r>
      <w:r>
        <w:rPr>
          <w:rFonts w:asciiTheme="minorEastAsia" w:hAnsiTheme="minorEastAsia" w:eastAsiaTheme="minorEastAsia"/>
          <w:color w:val="auto"/>
          <w:sz w:val="44"/>
          <w:highlight w:val="none"/>
        </w:rPr>
        <w:t>/</w:t>
      </w:r>
      <w:r>
        <w:rPr>
          <w:rFonts w:hint="eastAsia" w:asciiTheme="minorEastAsia" w:hAnsiTheme="minorEastAsia" w:eastAsiaTheme="minorEastAsia"/>
          <w:color w:val="auto"/>
          <w:sz w:val="44"/>
          <w:highlight w:val="none"/>
        </w:rPr>
        <w:t>副本）</w:t>
      </w:r>
    </w:p>
    <w:p>
      <w:pPr>
        <w:ind w:firstLine="0" w:firstLineChars="0"/>
        <w:jc w:val="center"/>
        <w:rPr>
          <w:rFonts w:asciiTheme="minorEastAsia" w:hAnsiTheme="minorEastAsia" w:eastAsiaTheme="minorEastAsia"/>
          <w:color w:val="auto"/>
          <w:sz w:val="44"/>
          <w:highlight w:val="none"/>
        </w:rPr>
      </w:pPr>
    </w:p>
    <w:p>
      <w:pPr>
        <w:ind w:firstLine="0" w:firstLineChars="0"/>
        <w:jc w:val="center"/>
        <w:rPr>
          <w:rFonts w:asciiTheme="minorEastAsia" w:hAnsiTheme="minorEastAsia" w:eastAsiaTheme="minorEastAsia"/>
          <w:color w:val="auto"/>
          <w:sz w:val="44"/>
          <w:highlight w:val="none"/>
        </w:rPr>
      </w:pPr>
    </w:p>
    <w:p>
      <w:pPr>
        <w:ind w:firstLine="0" w:firstLineChars="0"/>
        <w:rPr>
          <w:rFonts w:asciiTheme="minorEastAsia" w:hAnsiTheme="minorEastAsia" w:eastAsiaTheme="minorEastAsia"/>
          <w:color w:val="auto"/>
          <w:sz w:val="32"/>
          <w:szCs w:val="32"/>
          <w:highlight w:val="none"/>
        </w:rPr>
      </w:pPr>
    </w:p>
    <w:p>
      <w:pPr>
        <w:ind w:firstLine="0" w:firstLineChars="0"/>
        <w:rPr>
          <w:rFonts w:asciiTheme="minorEastAsia" w:hAnsiTheme="minorEastAsia" w:eastAsiaTheme="minorEastAsia"/>
          <w:color w:val="auto"/>
          <w:sz w:val="32"/>
          <w:szCs w:val="32"/>
          <w:highlight w:val="none"/>
        </w:rPr>
      </w:pPr>
    </w:p>
    <w:p>
      <w:pPr>
        <w:ind w:firstLine="0" w:firstLineChars="0"/>
        <w:rPr>
          <w:rFonts w:asciiTheme="minorEastAsia" w:hAnsiTheme="minorEastAsia" w:eastAsiaTheme="minorEastAsia"/>
          <w:color w:val="auto"/>
          <w:sz w:val="32"/>
          <w:szCs w:val="32"/>
          <w:highlight w:val="none"/>
        </w:rPr>
      </w:pPr>
    </w:p>
    <w:p>
      <w:pPr>
        <w:ind w:firstLine="0" w:firstLineChars="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项目编号：</w:t>
      </w:r>
    </w:p>
    <w:p>
      <w:pPr>
        <w:ind w:firstLine="0" w:firstLineChars="0"/>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t>项目名称：</w:t>
      </w:r>
    </w:p>
    <w:p>
      <w:pPr>
        <w:ind w:firstLine="0" w:firstLineChars="0"/>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t>谈判内容：</w:t>
      </w:r>
    </w:p>
    <w:p>
      <w:pPr>
        <w:ind w:firstLine="0" w:firstLineChars="0"/>
        <w:rPr>
          <w:rFonts w:asciiTheme="minorEastAsia" w:hAnsiTheme="minorEastAsia" w:eastAsiaTheme="minorEastAsia"/>
          <w:color w:val="auto"/>
          <w:sz w:val="44"/>
          <w:highlight w:val="none"/>
        </w:rPr>
      </w:pPr>
    </w:p>
    <w:p>
      <w:pPr>
        <w:ind w:firstLine="0" w:firstLineChars="0"/>
        <w:rPr>
          <w:rFonts w:asciiTheme="minorEastAsia" w:hAnsiTheme="minorEastAsia" w:eastAsiaTheme="minorEastAsia"/>
          <w:color w:val="auto"/>
          <w:sz w:val="44"/>
          <w:highlight w:val="none"/>
        </w:rPr>
      </w:pPr>
    </w:p>
    <w:p>
      <w:pPr>
        <w:ind w:firstLine="0" w:firstLineChars="0"/>
        <w:jc w:val="center"/>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t>供应商名称：</w:t>
      </w:r>
      <w:r>
        <w:rPr>
          <w:rFonts w:hint="eastAsia" w:asciiTheme="minorEastAsia" w:hAnsiTheme="minorEastAsia" w:eastAsiaTheme="minorEastAsia"/>
          <w:color w:val="auto"/>
          <w:sz w:val="32"/>
          <w:szCs w:val="32"/>
          <w:highlight w:val="none"/>
          <w:u w:val="single"/>
        </w:rPr>
        <w:t>（公章）</w:t>
      </w:r>
    </w:p>
    <w:p>
      <w:pPr>
        <w:ind w:firstLine="0" w:firstLineChars="0"/>
        <w:jc w:val="center"/>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t>年  月  日</w:t>
      </w:r>
    </w:p>
    <w:p>
      <w:pPr>
        <w:adjustRightInd w:val="0"/>
        <w:snapToGrid w:val="0"/>
        <w:ind w:firstLine="0" w:firstLineChars="0"/>
        <w:jc w:val="center"/>
        <w:rPr>
          <w:rFonts w:asciiTheme="minorEastAsia" w:hAnsiTheme="minorEastAsia" w:eastAsiaTheme="minorEastAsia"/>
          <w:b/>
          <w:color w:val="auto"/>
          <w:szCs w:val="24"/>
          <w:highlight w:val="none"/>
        </w:rPr>
      </w:pPr>
      <w:r>
        <w:rPr>
          <w:rFonts w:asciiTheme="minorEastAsia" w:hAnsiTheme="minorEastAsia" w:eastAsiaTheme="minorEastAsia"/>
          <w:b/>
          <w:color w:val="auto"/>
          <w:szCs w:val="24"/>
          <w:highlight w:val="none"/>
        </w:rPr>
        <w:br w:type="page"/>
      </w:r>
      <w:r>
        <w:rPr>
          <w:rFonts w:hint="eastAsia" w:asciiTheme="minorEastAsia" w:hAnsiTheme="minorEastAsia" w:eastAsiaTheme="minorEastAsia"/>
          <w:b/>
          <w:color w:val="auto"/>
          <w:szCs w:val="24"/>
          <w:highlight w:val="none"/>
        </w:rPr>
        <w:t>目  录</w:t>
      </w:r>
    </w:p>
    <w:p>
      <w:pPr>
        <w:adjustRightInd w:val="0"/>
        <w:snapToGrid w:val="0"/>
        <w:ind w:firstLine="0" w:firstLineChars="0"/>
        <w:jc w:val="center"/>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(格式自拟)</w:t>
      </w:r>
    </w:p>
    <w:p>
      <w:pPr>
        <w:pStyle w:val="28"/>
        <w:rPr>
          <w:rFonts w:asciiTheme="minorEastAsia" w:hAnsiTheme="minorEastAsia" w:eastAsiaTheme="minorEastAsia"/>
          <w:color w:val="auto"/>
          <w:highlight w:val="none"/>
        </w:rPr>
      </w:pPr>
      <w:r>
        <w:rPr>
          <w:rFonts w:cs="宋体" w:asciiTheme="minorEastAsia" w:hAnsiTheme="minorEastAsia" w:eastAsiaTheme="minorEastAsia"/>
          <w:color w:val="auto"/>
          <w:highlight w:val="none"/>
        </w:rPr>
        <w:br w:type="page"/>
      </w:r>
      <w:r>
        <w:rPr>
          <w:rFonts w:hint="eastAsia" w:asciiTheme="minorEastAsia" w:hAnsiTheme="minorEastAsia" w:eastAsiaTheme="minorEastAsia"/>
          <w:color w:val="auto"/>
          <w:highlight w:val="none"/>
        </w:rPr>
        <w:t>一、资格性及符合性审查导航表</w:t>
      </w:r>
    </w:p>
    <w:p>
      <w:pPr>
        <w:widowControl/>
        <w:spacing w:line="240" w:lineRule="auto"/>
        <w:ind w:firstLine="422"/>
        <w:jc w:val="center"/>
        <w:rPr>
          <w:rFonts w:asciiTheme="minorEastAsia" w:hAnsiTheme="minorEastAsia" w:eastAsiaTheme="minorEastAsia"/>
          <w:b/>
          <w:color w:val="auto"/>
          <w:szCs w:val="24"/>
          <w:highlight w:val="none"/>
        </w:rPr>
      </w:pPr>
    </w:p>
    <w:tbl>
      <w:tblPr>
        <w:tblStyle w:val="34"/>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0" w:type="dxa"/>
            <w:vAlign w:val="center"/>
          </w:tcPr>
          <w:p>
            <w:pPr>
              <w:ind w:firstLine="0" w:firstLineChars="0"/>
              <w:jc w:val="center"/>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审核内容</w:t>
            </w:r>
          </w:p>
        </w:tc>
        <w:tc>
          <w:tcPr>
            <w:tcW w:w="1757" w:type="dxa"/>
          </w:tcPr>
          <w:p>
            <w:pPr>
              <w:ind w:firstLine="0" w:firstLineChars="0"/>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响应</w:t>
            </w:r>
            <w:r>
              <w:rPr>
                <w:rFonts w:asciiTheme="minorEastAsia" w:hAnsiTheme="minorEastAsia" w:eastAsiaTheme="minorEastAsia"/>
                <w:b/>
                <w:color w:val="auto"/>
                <w:highlight w:val="none"/>
              </w:rPr>
              <w:t>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0" w:type="dxa"/>
            <w:vAlign w:val="center"/>
          </w:tcPr>
          <w:p>
            <w:pPr>
              <w:spacing w:line="240" w:lineRule="auto"/>
              <w:ind w:firstLine="0" w:firstLineChars="0"/>
              <w:rPr>
                <w:rFonts w:hint="default" w:asciiTheme="minorEastAsia" w:hAnsiTheme="minorEastAsia" w:eastAsiaTheme="minorEastAsia"/>
                <w:color w:val="auto"/>
                <w:highlight w:val="none"/>
                <w:u w:val="single"/>
                <w:lang w:val="en-US" w:eastAsia="zh-CN"/>
              </w:rPr>
            </w:pPr>
            <w:r>
              <w:rPr>
                <w:rFonts w:hint="eastAsia" w:asciiTheme="minorEastAsia" w:hAnsiTheme="minorEastAsia" w:eastAsiaTheme="minorEastAsia"/>
                <w:color w:val="auto"/>
                <w:highlight w:val="none"/>
                <w:u w:val="single"/>
              </w:rPr>
              <w:t>如：</w:t>
            </w:r>
            <w:r>
              <w:rPr>
                <w:rFonts w:asciiTheme="minorEastAsia" w:hAnsiTheme="minorEastAsia" w:eastAsiaTheme="minorEastAsia"/>
                <w:color w:val="auto"/>
                <w:highlight w:val="none"/>
                <w:u w:val="single"/>
              </w:rPr>
              <w:t>满足</w:t>
            </w:r>
            <w:r>
              <w:rPr>
                <w:rFonts w:hint="eastAsia" w:asciiTheme="minorEastAsia" w:hAnsiTheme="minorEastAsia" w:eastAsiaTheme="minorEastAsia"/>
                <w:color w:val="auto"/>
                <w:highlight w:val="none"/>
                <w:u w:val="single"/>
                <w:lang w:val="en-US" w:eastAsia="zh-CN"/>
              </w:rPr>
              <w:t>资格要求</w:t>
            </w:r>
            <w:r>
              <w:rPr>
                <w:rFonts w:hint="eastAsia" w:asciiTheme="minorEastAsia" w:hAnsiTheme="minorEastAsia" w:eastAsiaTheme="minorEastAsia"/>
                <w:color w:val="auto"/>
                <w:highlight w:val="none"/>
                <w:u w:val="single"/>
              </w:rPr>
              <w:t>及符合性审查表中要求提供的证明或承诺</w:t>
            </w:r>
          </w:p>
        </w:tc>
        <w:tc>
          <w:tcPr>
            <w:tcW w:w="1757" w:type="dxa"/>
            <w:vAlign w:val="center"/>
          </w:tcPr>
          <w:p>
            <w:pPr>
              <w:ind w:firstLine="0" w:firstLineChars="0"/>
              <w:jc w:val="center"/>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u w:val="single"/>
              </w:rPr>
              <w:t>如：P5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0" w:type="dxa"/>
            <w:vAlign w:val="center"/>
          </w:tcPr>
          <w:p>
            <w:pPr>
              <w:spacing w:line="240" w:lineRule="auto"/>
              <w:ind w:firstLine="0" w:firstLineChars="0"/>
              <w:jc w:val="both"/>
              <w:rPr>
                <w:rFonts w:asciiTheme="minorEastAsia" w:hAnsiTheme="minorEastAsia" w:eastAsiaTheme="minorEastAsia"/>
                <w:color w:val="auto"/>
                <w:highlight w:val="none"/>
                <w:u w:val="single"/>
              </w:rPr>
            </w:pPr>
          </w:p>
        </w:tc>
        <w:tc>
          <w:tcPr>
            <w:tcW w:w="1757" w:type="dxa"/>
            <w:vAlign w:val="center"/>
          </w:tcPr>
          <w:p>
            <w:pPr>
              <w:ind w:firstLine="0" w:firstLineChars="0"/>
              <w:jc w:val="center"/>
              <w:rPr>
                <w:rFonts w:asciiTheme="minorEastAsia" w:hAnsiTheme="minorEastAsia" w:eastAsiaTheme="minorEastAsia"/>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0" w:type="dxa"/>
            <w:vAlign w:val="center"/>
          </w:tcPr>
          <w:p>
            <w:pPr>
              <w:ind w:firstLine="0" w:firstLineChars="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p>
        </w:tc>
        <w:tc>
          <w:tcPr>
            <w:tcW w:w="1757" w:type="dxa"/>
            <w:vAlign w:val="center"/>
          </w:tcPr>
          <w:p>
            <w:pPr>
              <w:ind w:firstLine="0" w:firstLineChars="0"/>
              <w:jc w:val="center"/>
              <w:rPr>
                <w:rFonts w:asciiTheme="minorEastAsia" w:hAnsiTheme="minorEastAsia" w:eastAsiaTheme="minorEastAsia"/>
                <w:color w:val="auto"/>
                <w:highlight w:val="none"/>
              </w:rPr>
            </w:pPr>
          </w:p>
        </w:tc>
      </w:tr>
    </w:tbl>
    <w:p>
      <w:pPr>
        <w:ind w:firstLine="422"/>
        <w:jc w:val="center"/>
        <w:rPr>
          <w:rFonts w:asciiTheme="minorEastAsia" w:hAnsiTheme="minorEastAsia" w:eastAsiaTheme="minorEastAsia"/>
          <w:b/>
          <w:color w:val="auto"/>
          <w:highlight w:val="none"/>
        </w:rPr>
      </w:pP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备注：</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1、为方便评委评审，供应商应根据</w:t>
      </w:r>
      <w:r>
        <w:rPr>
          <w:rFonts w:hint="eastAsia" w:asciiTheme="minorEastAsia" w:hAnsiTheme="minorEastAsia" w:eastAsiaTheme="minorEastAsia"/>
          <w:color w:val="auto"/>
          <w:highlight w:val="none"/>
        </w:rPr>
        <w:t>采购</w:t>
      </w:r>
      <w:r>
        <w:rPr>
          <w:rFonts w:asciiTheme="minorEastAsia" w:hAnsiTheme="minorEastAsia" w:eastAsiaTheme="minorEastAsia"/>
          <w:color w:val="auto"/>
          <w:highlight w:val="none"/>
        </w:rPr>
        <w:t>文件</w:t>
      </w:r>
      <w:r>
        <w:rPr>
          <w:rFonts w:hint="eastAsia" w:cs="宋体" w:asciiTheme="minorEastAsia" w:hAnsiTheme="minorEastAsia" w:eastAsiaTheme="minorEastAsia"/>
          <w:color w:val="auto"/>
          <w:szCs w:val="24"/>
          <w:highlight w:val="none"/>
        </w:rPr>
        <w:t>第四章“评审办法”</w:t>
      </w:r>
      <w:r>
        <w:rPr>
          <w:rFonts w:asciiTheme="minorEastAsia" w:hAnsiTheme="minorEastAsia" w:eastAsiaTheme="minorEastAsia"/>
          <w:color w:val="auto"/>
          <w:highlight w:val="none"/>
        </w:rPr>
        <w:t>中载明的《</w:t>
      </w:r>
      <w:r>
        <w:rPr>
          <w:rFonts w:hint="eastAsia" w:asciiTheme="minorEastAsia" w:hAnsiTheme="minorEastAsia" w:eastAsiaTheme="minorEastAsia"/>
          <w:color w:val="auto"/>
          <w:highlight w:val="none"/>
        </w:rPr>
        <w:t>资格性和符合性审查表</w:t>
      </w:r>
      <w:r>
        <w:rPr>
          <w:rFonts w:asciiTheme="minorEastAsia" w:hAnsiTheme="minorEastAsia" w:eastAsiaTheme="minorEastAsia"/>
          <w:color w:val="auto"/>
          <w:highlight w:val="none"/>
        </w:rPr>
        <w:t>》，将具体响应情况在</w:t>
      </w:r>
      <w:r>
        <w:rPr>
          <w:rFonts w:hint="eastAsia" w:asciiTheme="minorEastAsia" w:hAnsiTheme="minorEastAsia" w:eastAsiaTheme="minorEastAsia"/>
          <w:color w:val="auto"/>
          <w:highlight w:val="none"/>
        </w:rPr>
        <w:t>响应</w:t>
      </w:r>
      <w:r>
        <w:rPr>
          <w:rFonts w:asciiTheme="minorEastAsia" w:hAnsiTheme="minorEastAsia" w:eastAsiaTheme="minorEastAsia"/>
          <w:color w:val="auto"/>
          <w:highlight w:val="none"/>
        </w:rPr>
        <w:t>文件中的对应页码填写到上表“</w:t>
      </w:r>
      <w:r>
        <w:rPr>
          <w:rFonts w:hint="eastAsia" w:asciiTheme="minorEastAsia" w:hAnsiTheme="minorEastAsia" w:eastAsiaTheme="minorEastAsia"/>
          <w:color w:val="auto"/>
          <w:highlight w:val="none"/>
        </w:rPr>
        <w:t>响应</w:t>
      </w:r>
      <w:r>
        <w:rPr>
          <w:rFonts w:asciiTheme="minorEastAsia" w:hAnsiTheme="minorEastAsia" w:eastAsiaTheme="minorEastAsia"/>
          <w:color w:val="auto"/>
          <w:highlight w:val="none"/>
        </w:rPr>
        <w:t>文件对应页码”中。</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1、所有证明材料须</w:t>
      </w:r>
      <w:r>
        <w:rPr>
          <w:rFonts w:hint="eastAsia" w:asciiTheme="minorEastAsia" w:hAnsiTheme="minorEastAsia" w:eastAsiaTheme="minorEastAsia"/>
          <w:color w:val="auto"/>
          <w:highlight w:val="none"/>
        </w:rPr>
        <w:t>是</w:t>
      </w:r>
      <w:r>
        <w:rPr>
          <w:rFonts w:asciiTheme="minorEastAsia" w:hAnsiTheme="minorEastAsia" w:eastAsiaTheme="minorEastAsia"/>
          <w:color w:val="auto"/>
          <w:highlight w:val="none"/>
        </w:rPr>
        <w:t>清晰可辨认的扫描件或复印件，并加盖单位公章。</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2、所有证书、证明文件包括按要求提供的官网截图必须是真实可查证的。</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3、如因证明材料模糊无法辨认、缺页、漏页导致无法进行评审认定的责任由供应商自负。如发现弄虚作假将按照有关规定严肃处理。 </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4、证明材料仅限于供应商单位本身，参股或控股单位及独立法人子公司的材料不能作为证明材料，但供应商兼并的企业的材料可作为证明材料。 </w:t>
      </w:r>
    </w:p>
    <w:p>
      <w:pPr>
        <w:ind w:firstLine="422"/>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5、</w:t>
      </w:r>
      <w:r>
        <w:rPr>
          <w:rFonts w:hint="eastAsia" w:asciiTheme="minorEastAsia" w:hAnsiTheme="minorEastAsia" w:eastAsiaTheme="minorEastAsia"/>
          <w:b/>
          <w:color w:val="auto"/>
          <w:highlight w:val="none"/>
        </w:rPr>
        <w:t>响应文件</w:t>
      </w:r>
      <w:r>
        <w:rPr>
          <w:rFonts w:asciiTheme="minorEastAsia" w:hAnsiTheme="minorEastAsia" w:eastAsiaTheme="minorEastAsia"/>
          <w:b/>
          <w:color w:val="auto"/>
          <w:highlight w:val="none"/>
        </w:rPr>
        <w:t>中有任意一条不满足上表要求的将导致其响应无效，不进入下一项评审。</w:t>
      </w:r>
    </w:p>
    <w:p>
      <w:pPr>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6、供应商应将相关证明材料对应的页码填写到上表“</w:t>
      </w:r>
      <w:r>
        <w:rPr>
          <w:rFonts w:hint="eastAsia" w:asciiTheme="minorEastAsia" w:hAnsiTheme="minorEastAsia" w:eastAsiaTheme="minorEastAsia"/>
          <w:color w:val="auto"/>
          <w:highlight w:val="none"/>
        </w:rPr>
        <w:t>响应文件</w:t>
      </w:r>
      <w:r>
        <w:rPr>
          <w:rFonts w:asciiTheme="minorEastAsia" w:hAnsiTheme="minorEastAsia" w:eastAsiaTheme="minorEastAsia"/>
          <w:color w:val="auto"/>
          <w:highlight w:val="none"/>
        </w:rPr>
        <w:t>对应页码”中。如未提供页码或内容与页码不一致的，导致的后果由供应商自行承担。</w:t>
      </w:r>
    </w:p>
    <w:p>
      <w:pPr>
        <w:widowControl/>
        <w:spacing w:line="240" w:lineRule="auto"/>
        <w:ind w:firstLine="0" w:firstLineChars="0"/>
        <w:jc w:val="center"/>
        <w:rPr>
          <w:rFonts w:cs="宋体" w:asciiTheme="minorEastAsia" w:hAnsiTheme="minorEastAsia" w:eastAsiaTheme="minorEastAsia"/>
          <w:b/>
          <w:color w:val="auto"/>
          <w:szCs w:val="24"/>
          <w:highlight w:val="none"/>
        </w:rPr>
      </w:pPr>
      <w:r>
        <w:rPr>
          <w:rFonts w:asciiTheme="minorEastAsia" w:hAnsiTheme="minorEastAsia" w:eastAsiaTheme="minorEastAsia"/>
          <w:b/>
          <w:color w:val="auto"/>
          <w:szCs w:val="24"/>
          <w:highlight w:val="none"/>
        </w:rPr>
        <w:br w:type="page"/>
      </w:r>
    </w:p>
    <w:p>
      <w:pPr>
        <w:ind w:firstLine="0" w:firstLineChars="0"/>
        <w:jc w:val="center"/>
        <w:rPr>
          <w:rFonts w:asciiTheme="minorEastAsia" w:hAnsiTheme="minorEastAsia" w:eastAsiaTheme="minorEastAsia"/>
          <w:color w:val="auto"/>
          <w:szCs w:val="24"/>
          <w:highlight w:val="none"/>
        </w:rPr>
      </w:pPr>
      <w:r>
        <w:rPr>
          <w:rFonts w:hint="eastAsia" w:cs="宋体" w:asciiTheme="minorEastAsia" w:hAnsiTheme="minorEastAsia" w:eastAsiaTheme="minorEastAsia"/>
          <w:b/>
          <w:color w:val="auto"/>
          <w:szCs w:val="24"/>
          <w:highlight w:val="none"/>
        </w:rPr>
        <w:t>二、法定代表人身份证明书</w:t>
      </w:r>
    </w:p>
    <w:p>
      <w:pPr>
        <w:ind w:firstLine="420"/>
        <w:rPr>
          <w:rFonts w:asciiTheme="minorEastAsia" w:hAnsiTheme="minorEastAsia" w:eastAsiaTheme="minorEastAsia"/>
          <w:color w:val="auto"/>
          <w:szCs w:val="24"/>
          <w:highlight w:val="none"/>
        </w:rPr>
      </w:pPr>
    </w:p>
    <w:p>
      <w:pPr>
        <w:ind w:firstLine="420"/>
        <w:rPr>
          <w:rFonts w:asciiTheme="minorEastAsia" w:hAnsiTheme="minorEastAsia" w:eastAsiaTheme="minorEastAsia"/>
          <w:color w:val="auto"/>
          <w:szCs w:val="24"/>
          <w:highlight w:val="none"/>
          <w:u w:val="single"/>
        </w:rPr>
      </w:pPr>
      <w:r>
        <w:rPr>
          <w:rFonts w:asciiTheme="minorEastAsia" w:hAnsiTheme="minorEastAsia" w:eastAsiaTheme="minorEastAsia"/>
          <w:color w:val="auto"/>
          <w:szCs w:val="24"/>
          <w:highlight w:val="none"/>
        </w:rPr>
        <w:t>企业名称：</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企业性质：</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地    址：</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成立时间：</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经营期限：</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姓名：</w:t>
      </w:r>
      <w:r>
        <w:rPr>
          <w:rFonts w:hint="eastAsia"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ab/>
      </w:r>
      <w:r>
        <w:rPr>
          <w:rFonts w:asciiTheme="minorEastAsia" w:hAnsiTheme="minorEastAsia" w:eastAsiaTheme="minorEastAsia"/>
          <w:color w:val="auto"/>
          <w:szCs w:val="24"/>
          <w:highlight w:val="none"/>
        </w:rPr>
        <w:t>性别：</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w:t>
      </w:r>
      <w:r>
        <w:rPr>
          <w:rFonts w:asciiTheme="minorEastAsia" w:hAnsiTheme="minorEastAsia" w:eastAsiaTheme="minorEastAsia"/>
          <w:color w:val="auto"/>
          <w:szCs w:val="24"/>
          <w:highlight w:val="none"/>
        </w:rPr>
        <w:t>年龄：</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w:t>
      </w:r>
      <w:r>
        <w:rPr>
          <w:rFonts w:asciiTheme="minorEastAsia" w:hAnsiTheme="minorEastAsia" w:eastAsiaTheme="minorEastAsia"/>
          <w:color w:val="auto"/>
          <w:szCs w:val="24"/>
          <w:highlight w:val="none"/>
        </w:rPr>
        <w:t>职务：</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系</w:t>
      </w:r>
      <w:r>
        <w:rPr>
          <w:rFonts w:hint="eastAsia" w:asciiTheme="minorEastAsia" w:hAnsiTheme="minorEastAsia" w:eastAsiaTheme="minorEastAsia"/>
          <w:color w:val="auto"/>
          <w:szCs w:val="24"/>
          <w:highlight w:val="none"/>
          <w:u w:val="single"/>
        </w:rPr>
        <w:t xml:space="preserve">         （企业名称）           </w:t>
      </w:r>
      <w:r>
        <w:rPr>
          <w:rFonts w:asciiTheme="minorEastAsia" w:hAnsiTheme="minorEastAsia" w:eastAsiaTheme="minorEastAsia"/>
          <w:color w:val="auto"/>
          <w:szCs w:val="24"/>
          <w:highlight w:val="none"/>
        </w:rPr>
        <w:t>的法定代表人。</w:t>
      </w: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特此证明。</w:t>
      </w:r>
    </w:p>
    <w:p>
      <w:pPr>
        <w:pStyle w:val="27"/>
        <w:ind w:firstLine="480"/>
        <w:rPr>
          <w:rFonts w:asciiTheme="minorEastAsia" w:hAnsiTheme="minorEastAsia" w:eastAsiaTheme="minorEastAsia"/>
          <w:color w:val="auto"/>
          <w:sz w:val="24"/>
          <w:szCs w:val="24"/>
          <w:highlight w:val="none"/>
        </w:rPr>
      </w:pPr>
    </w:p>
    <w:p>
      <w:pPr>
        <w:pStyle w:val="27"/>
        <w:ind w:firstLine="480"/>
        <w:rPr>
          <w:rFonts w:asciiTheme="minorEastAsia" w:hAnsiTheme="minorEastAsia" w:eastAsiaTheme="minorEastAsia"/>
          <w:color w:val="auto"/>
          <w:sz w:val="24"/>
          <w:szCs w:val="24"/>
          <w:highlight w:val="none"/>
        </w:rPr>
      </w:pPr>
    </w:p>
    <w:p>
      <w:pPr>
        <w:snapToGrid w:val="0"/>
        <w:ind w:firstLine="42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供应商名称（公章）：</w:t>
      </w:r>
      <w:r>
        <w:rPr>
          <w:rFonts w:hint="eastAsia" w:asciiTheme="minorEastAsia" w:hAnsiTheme="minorEastAsia" w:eastAsiaTheme="minorEastAsia"/>
          <w:color w:val="auto"/>
          <w:szCs w:val="24"/>
          <w:highlight w:val="none"/>
          <w:u w:val="single"/>
        </w:rPr>
        <w:t xml:space="preserve">                             </w:t>
      </w:r>
    </w:p>
    <w:p>
      <w:pPr>
        <w:pStyle w:val="27"/>
        <w:ind w:firstLine="420"/>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法定代表人（签字或盖章）：</w:t>
      </w:r>
      <w:r>
        <w:rPr>
          <w:rFonts w:hint="eastAsia" w:asciiTheme="minorEastAsia" w:hAnsiTheme="minorEastAsia" w:eastAsiaTheme="minorEastAsia"/>
          <w:color w:val="auto"/>
          <w:szCs w:val="24"/>
          <w:highlight w:val="none"/>
          <w:u w:val="single"/>
        </w:rPr>
        <w:t xml:space="preserve">                            </w:t>
      </w:r>
    </w:p>
    <w:p>
      <w:pPr>
        <w:pStyle w:val="27"/>
        <w:ind w:firstLine="420"/>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日期：</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年</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月</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日</w:t>
      </w:r>
    </w:p>
    <w:p>
      <w:pPr>
        <w:pStyle w:val="27"/>
        <w:ind w:firstLine="480"/>
        <w:rPr>
          <w:rFonts w:asciiTheme="minorEastAsia" w:hAnsiTheme="minorEastAsia" w:eastAsiaTheme="minorEastAsia"/>
          <w:color w:val="auto"/>
          <w:sz w:val="24"/>
          <w:szCs w:val="24"/>
          <w:highlight w:val="none"/>
        </w:rPr>
      </w:pPr>
    </w:p>
    <w:p>
      <w:pPr>
        <w:pStyle w:val="27"/>
        <w:ind w:firstLine="480"/>
        <w:rPr>
          <w:rFonts w:asciiTheme="minorEastAsia" w:hAnsiTheme="minorEastAsia" w:eastAsiaTheme="minorEastAsia"/>
          <w:color w:val="auto"/>
          <w:sz w:val="24"/>
          <w:szCs w:val="24"/>
          <w:highlight w:val="none"/>
        </w:rPr>
      </w:pPr>
    </w:p>
    <w:p>
      <w:pPr>
        <w:pStyle w:val="27"/>
        <w:ind w:firstLine="360"/>
        <w:rPr>
          <w:rFonts w:asciiTheme="minorEastAsia" w:hAnsiTheme="minorEastAsia" w:eastAsiaTheme="minorEastAsia"/>
          <w:color w:val="auto"/>
          <w:sz w:val="24"/>
          <w:szCs w:val="24"/>
          <w:highlight w:val="none"/>
        </w:rPr>
      </w:pPr>
      <w:r>
        <w:rPr>
          <w:rFonts w:asciiTheme="minorEastAsia" w:hAnsiTheme="minorEastAsia" w:eastAsiaTheme="minorEastAsia"/>
          <w:color w:val="auto"/>
          <w:szCs w:val="24"/>
          <w:highlight w:val="non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259080</wp:posOffset>
                </wp:positionV>
                <wp:extent cx="5229225" cy="1924050"/>
                <wp:effectExtent l="0" t="0" r="28575" b="1905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229225" cy="192405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ind w:firstLine="0" w:firstLineChars="0"/>
                            </w:pPr>
                            <w:r>
                              <w:rPr>
                                <w:rFonts w:hint="eastAsia"/>
                              </w:rPr>
                              <w:t>附：法定代表人身份证复印件（正、反面）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20.4pt;height:151.5pt;width:411.75pt;z-index:251661312;mso-width-relative:page;mso-height-relative:page;" fillcolor="#FFFFFF" filled="t" stroked="t" coordsize="21600,21600" o:gfxdata="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NrNlvXAAAACAEAAA8AAAAAAAAAAQAgAAAAIgAAAGRy&#10;cy9kb3ducmV2LnhtbFBLAQIUABQAAAAIAIdO4kDpqHxSeAIAAAQFAAAOAAAAAAAAAAEAIAAAACYB&#10;AABkcnMvZTJvRG9jLnhtbFBLBQYAAAAABgAGAFkBAAAQBgAAAAA=&#10;">
                <v:fill type="gradient" on="t" color2="#FFFFFF" angle="90" focus="100%" focussize="0,0">
                  <o:fill type="gradientUnscaled" v:ext="backwardCompatible"/>
                </v:fill>
                <v:stroke color="#000000" miterlimit="8" joinstyle="miter"/>
                <v:imagedata o:title=""/>
                <o:lock v:ext="edit" aspectratio="f"/>
                <v:textbox>
                  <w:txbxContent>
                    <w:p>
                      <w:pPr>
                        <w:ind w:firstLine="0" w:firstLineChars="0"/>
                      </w:pPr>
                      <w:r>
                        <w:rPr>
                          <w:rFonts w:hint="eastAsia"/>
                        </w:rPr>
                        <w:t>附：法定代表人身份证复印件（正、反面）</w:t>
                      </w:r>
                    </w:p>
                  </w:txbxContent>
                </v:textbox>
              </v:shape>
            </w:pict>
          </mc:Fallback>
        </mc:AlternateContent>
      </w:r>
    </w:p>
    <w:p>
      <w:pPr>
        <w:pStyle w:val="27"/>
        <w:ind w:firstLine="480"/>
        <w:rPr>
          <w:rFonts w:asciiTheme="minorEastAsia" w:hAnsiTheme="minorEastAsia" w:eastAsiaTheme="minorEastAsia"/>
          <w:color w:val="auto"/>
          <w:sz w:val="24"/>
          <w:szCs w:val="24"/>
          <w:highlight w:val="none"/>
        </w:rPr>
      </w:pPr>
    </w:p>
    <w:p>
      <w:pPr>
        <w:adjustRightInd w:val="0"/>
        <w:snapToGrid w:val="0"/>
        <w:ind w:firstLine="420"/>
        <w:jc w:val="center"/>
        <w:rPr>
          <w:rFonts w:asciiTheme="minorEastAsia" w:hAnsiTheme="minorEastAsia" w:eastAsiaTheme="minorEastAsia"/>
          <w:color w:val="auto"/>
          <w:szCs w:val="24"/>
          <w:highlight w:val="none"/>
        </w:rPr>
      </w:pPr>
    </w:p>
    <w:p>
      <w:pPr>
        <w:adjustRightInd w:val="0"/>
        <w:snapToGrid w:val="0"/>
        <w:ind w:firstLine="420"/>
        <w:jc w:val="center"/>
        <w:rPr>
          <w:rFonts w:asciiTheme="minorEastAsia" w:hAnsiTheme="minorEastAsia" w:eastAsiaTheme="minorEastAsia"/>
          <w:color w:val="auto"/>
          <w:szCs w:val="24"/>
          <w:highlight w:val="none"/>
        </w:rPr>
      </w:pPr>
    </w:p>
    <w:p>
      <w:pPr>
        <w:adjustRightInd w:val="0"/>
        <w:snapToGrid w:val="0"/>
        <w:ind w:firstLine="420"/>
        <w:jc w:val="center"/>
        <w:rPr>
          <w:rFonts w:asciiTheme="minorEastAsia" w:hAnsiTheme="minorEastAsia" w:eastAsiaTheme="minorEastAsia"/>
          <w:color w:val="auto"/>
          <w:szCs w:val="24"/>
          <w:highlight w:val="none"/>
        </w:rPr>
      </w:pPr>
    </w:p>
    <w:p>
      <w:pPr>
        <w:adjustRightInd w:val="0"/>
        <w:snapToGrid w:val="0"/>
        <w:ind w:firstLine="420"/>
        <w:jc w:val="center"/>
        <w:rPr>
          <w:rFonts w:asciiTheme="minorEastAsia" w:hAnsiTheme="minorEastAsia" w:eastAsiaTheme="minorEastAsia"/>
          <w:color w:val="auto"/>
          <w:szCs w:val="24"/>
          <w:highlight w:val="none"/>
        </w:rPr>
      </w:pPr>
    </w:p>
    <w:p>
      <w:pPr>
        <w:adjustRightInd w:val="0"/>
        <w:snapToGrid w:val="0"/>
        <w:ind w:firstLine="2310" w:firstLineChars="1100"/>
        <w:rPr>
          <w:rFonts w:asciiTheme="minorEastAsia" w:hAnsiTheme="minorEastAsia" w:eastAsiaTheme="minorEastAsia"/>
          <w:color w:val="auto"/>
          <w:szCs w:val="24"/>
          <w:highlight w:val="none"/>
        </w:rPr>
      </w:pPr>
    </w:p>
    <w:p>
      <w:pPr>
        <w:adjustRightInd w:val="0"/>
        <w:snapToGrid w:val="0"/>
        <w:ind w:firstLine="2310" w:firstLineChars="1100"/>
        <w:rPr>
          <w:rFonts w:asciiTheme="minorEastAsia" w:hAnsiTheme="minorEastAsia" w:eastAsiaTheme="minorEastAsia"/>
          <w:color w:val="auto"/>
          <w:szCs w:val="24"/>
          <w:highlight w:val="none"/>
        </w:rPr>
      </w:pPr>
    </w:p>
    <w:p>
      <w:pPr>
        <w:pStyle w:val="27"/>
        <w:ind w:firstLine="480"/>
        <w:rPr>
          <w:rFonts w:asciiTheme="minorEastAsia" w:hAnsiTheme="minorEastAsia" w:eastAsiaTheme="minorEastAsia"/>
          <w:color w:val="auto"/>
          <w:sz w:val="24"/>
          <w:szCs w:val="24"/>
          <w:highlight w:val="none"/>
        </w:rPr>
      </w:pPr>
    </w:p>
    <w:p>
      <w:pPr>
        <w:ind w:firstLine="0" w:firstLineChars="0"/>
        <w:jc w:val="center"/>
        <w:rPr>
          <w:rFonts w:asciiTheme="minorEastAsia" w:hAnsiTheme="minorEastAsia" w:eastAsiaTheme="minorEastAsia"/>
          <w:b/>
          <w:color w:val="auto"/>
          <w:highlight w:val="none"/>
        </w:rPr>
      </w:pPr>
      <w:r>
        <w:rPr>
          <w:rFonts w:asciiTheme="minorEastAsia" w:hAnsiTheme="minorEastAsia" w:eastAsiaTheme="minorEastAsia"/>
          <w:bCs/>
          <w:color w:val="auto"/>
          <w:highlight w:val="none"/>
        </w:rPr>
        <w:br w:type="page"/>
      </w:r>
      <w:r>
        <w:rPr>
          <w:rFonts w:hint="eastAsia" w:asciiTheme="minorEastAsia" w:hAnsiTheme="minorEastAsia" w:eastAsiaTheme="minorEastAsia"/>
          <w:b/>
          <w:color w:val="auto"/>
          <w:highlight w:val="none"/>
        </w:rPr>
        <w:t>三、法定代表人授权委托书</w:t>
      </w:r>
    </w:p>
    <w:p>
      <w:pPr>
        <w:ind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（法定代表人直接参加谈判活动的，可不提供本项内容）</w:t>
      </w:r>
    </w:p>
    <w:p>
      <w:pPr>
        <w:pStyle w:val="27"/>
        <w:ind w:firstLine="480"/>
        <w:rPr>
          <w:rFonts w:cs="宋体" w:asciiTheme="minorEastAsia" w:hAnsiTheme="minorEastAsia" w:eastAsiaTheme="minorEastAsia"/>
          <w:color w:val="auto"/>
          <w:sz w:val="24"/>
          <w:szCs w:val="24"/>
          <w:highlight w:val="none"/>
        </w:rPr>
      </w:pPr>
    </w:p>
    <w:p>
      <w:pPr>
        <w:adjustRightInd w:val="0"/>
        <w:snapToGrid w:val="0"/>
        <w:spacing w:line="312" w:lineRule="auto"/>
        <w:ind w:firstLine="420"/>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szCs w:val="24"/>
          <w:highlight w:val="none"/>
          <w:u w:val="single"/>
        </w:rPr>
        <w:t>（采购人）</w:t>
      </w:r>
      <w:r>
        <w:rPr>
          <w:rFonts w:hint="eastAsia" w:asciiTheme="minorEastAsia" w:hAnsiTheme="minorEastAsia" w:eastAsiaTheme="minorEastAsia"/>
          <w:color w:val="auto"/>
          <w:kern w:val="0"/>
          <w:szCs w:val="24"/>
          <w:highlight w:val="none"/>
        </w:rPr>
        <w:t>：</w:t>
      </w:r>
    </w:p>
    <w:p>
      <w:pPr>
        <w:spacing w:line="312" w:lineRule="auto"/>
        <w:ind w:firstLine="525" w:firstLineChars="250"/>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u w:val="single"/>
        </w:rPr>
        <w:t>（供应商名称）</w:t>
      </w:r>
      <w:r>
        <w:rPr>
          <w:rFonts w:hint="eastAsia" w:cs="宋体" w:asciiTheme="minorEastAsia" w:hAnsiTheme="minorEastAsia" w:eastAsiaTheme="minorEastAsia"/>
          <w:color w:val="auto"/>
          <w:szCs w:val="24"/>
          <w:highlight w:val="none"/>
        </w:rPr>
        <w:t>在下面签字或盖章的</w:t>
      </w:r>
      <w:r>
        <w:rPr>
          <w:rFonts w:hint="eastAsia" w:cs="宋体" w:asciiTheme="minorEastAsia" w:hAnsiTheme="minorEastAsia" w:eastAsiaTheme="minorEastAsia"/>
          <w:color w:val="auto"/>
          <w:szCs w:val="24"/>
          <w:highlight w:val="none"/>
          <w:u w:val="single"/>
        </w:rPr>
        <w:t>（法定代表人姓名、职务）</w:t>
      </w:r>
      <w:r>
        <w:rPr>
          <w:rFonts w:hint="eastAsia" w:cs="宋体" w:asciiTheme="minorEastAsia" w:hAnsiTheme="minorEastAsia" w:eastAsiaTheme="minorEastAsia"/>
          <w:color w:val="auto"/>
          <w:szCs w:val="24"/>
          <w:highlight w:val="none"/>
        </w:rPr>
        <w:t>代表本公司授权在下面签字的</w:t>
      </w:r>
      <w:r>
        <w:rPr>
          <w:rFonts w:hint="eastAsia" w:cs="宋体" w:asciiTheme="minorEastAsia" w:hAnsiTheme="minorEastAsia" w:eastAsiaTheme="minorEastAsia"/>
          <w:color w:val="auto"/>
          <w:szCs w:val="24"/>
          <w:highlight w:val="none"/>
          <w:u w:val="single"/>
        </w:rPr>
        <w:t>（授权代表的姓名、职务）</w:t>
      </w:r>
      <w:r>
        <w:rPr>
          <w:rFonts w:hint="eastAsia" w:cs="宋体" w:asciiTheme="minorEastAsia" w:hAnsiTheme="minorEastAsia" w:eastAsiaTheme="minorEastAsia"/>
          <w:color w:val="auto"/>
          <w:szCs w:val="24"/>
          <w:highlight w:val="none"/>
        </w:rPr>
        <w:t>为本公司的合法代理人，就</w:t>
      </w:r>
      <w:r>
        <w:rPr>
          <w:rFonts w:hint="eastAsia" w:cs="宋体" w:asciiTheme="minorEastAsia" w:hAnsiTheme="minorEastAsia" w:eastAsiaTheme="minorEastAsia"/>
          <w:color w:val="auto"/>
          <w:szCs w:val="24"/>
          <w:highlight w:val="none"/>
          <w:u w:val="single"/>
        </w:rPr>
        <w:t>（项目编号、项目名称）</w:t>
      </w:r>
      <w:r>
        <w:rPr>
          <w:rFonts w:hint="eastAsia" w:cs="宋体" w:asciiTheme="minorEastAsia" w:hAnsiTheme="minorEastAsia" w:eastAsiaTheme="minorEastAsia"/>
          <w:color w:val="auto"/>
          <w:szCs w:val="24"/>
          <w:highlight w:val="none"/>
        </w:rPr>
        <w:t>的竞争性谈判采购，以本公司的名义处理一切与之有关的事务。</w:t>
      </w:r>
    </w:p>
    <w:p>
      <w:pPr>
        <w:spacing w:line="312" w:lineRule="auto"/>
        <w:ind w:firstLine="420"/>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本授权书自</w:t>
      </w:r>
      <w:r>
        <w:rPr>
          <w:rFonts w:hint="eastAsia" w:cs="宋体" w:asciiTheme="minorEastAsia" w:hAnsiTheme="minorEastAsia" w:eastAsiaTheme="minorEastAsia"/>
          <w:color w:val="auto"/>
          <w:szCs w:val="24"/>
          <w:highlight w:val="none"/>
          <w:u w:val="single"/>
        </w:rPr>
        <w:t xml:space="preserve">    年   月   日至    年   月   日</w:t>
      </w:r>
      <w:r>
        <w:rPr>
          <w:rFonts w:hint="eastAsia" w:cs="宋体" w:asciiTheme="minorEastAsia" w:hAnsiTheme="minorEastAsia" w:eastAsiaTheme="minorEastAsia"/>
          <w:color w:val="auto"/>
          <w:szCs w:val="24"/>
          <w:highlight w:val="none"/>
        </w:rPr>
        <w:t>止签字有效。</w:t>
      </w:r>
    </w:p>
    <w:p>
      <w:pPr>
        <w:spacing w:line="312" w:lineRule="auto"/>
        <w:ind w:firstLine="420"/>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特此声明。</w:t>
      </w:r>
    </w:p>
    <w:p>
      <w:pPr>
        <w:wordWrap w:val="0"/>
        <w:spacing w:line="312" w:lineRule="auto"/>
        <w:ind w:firstLine="42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kern w:val="0"/>
          <w:szCs w:val="24"/>
          <w:highlight w:val="none"/>
        </w:rPr>
        <w:t>日期：</w:t>
      </w:r>
      <w:r>
        <w:rPr>
          <w:rFonts w:hint="eastAsia" w:asciiTheme="minorEastAsia" w:hAnsiTheme="minorEastAsia" w:eastAsiaTheme="minorEastAsia"/>
          <w:color w:val="auto"/>
          <w:kern w:val="0"/>
          <w:szCs w:val="24"/>
          <w:highlight w:val="none"/>
          <w:u w:val="single"/>
        </w:rPr>
        <w:t xml:space="preserve">    </w:t>
      </w:r>
      <w:r>
        <w:rPr>
          <w:rFonts w:hint="eastAsia" w:cs="宋体" w:asciiTheme="minorEastAsia" w:hAnsiTheme="minorEastAsia" w:eastAsiaTheme="minorEastAsia"/>
          <w:color w:val="auto"/>
          <w:szCs w:val="24"/>
          <w:highlight w:val="none"/>
          <w:u w:val="single"/>
        </w:rPr>
        <w:t>年   月   日</w:t>
      </w:r>
    </w:p>
    <w:p>
      <w:pPr>
        <w:adjustRightInd w:val="0"/>
        <w:snapToGrid w:val="0"/>
        <w:spacing w:line="312" w:lineRule="auto"/>
        <w:ind w:firstLine="630" w:firstLineChars="300"/>
        <w:rPr>
          <w:rFonts w:asciiTheme="minorEastAsia" w:hAnsiTheme="minorEastAsia" w:eastAsiaTheme="minorEastAsia"/>
          <w:color w:val="auto"/>
          <w:szCs w:val="24"/>
          <w:highlight w:val="none"/>
        </w:rPr>
      </w:pPr>
    </w:p>
    <w:p>
      <w:pPr>
        <w:adjustRightInd w:val="0"/>
        <w:snapToGrid w:val="0"/>
        <w:spacing w:line="312" w:lineRule="auto"/>
        <w:ind w:firstLine="630" w:firstLineChars="300"/>
        <w:rPr>
          <w:rFonts w:asciiTheme="minorEastAsia" w:hAnsiTheme="minorEastAsia" w:eastAsiaTheme="minorEastAsia"/>
          <w:color w:val="auto"/>
          <w:kern w:val="0"/>
          <w:szCs w:val="24"/>
          <w:highlight w:val="none"/>
          <w:u w:val="single"/>
        </w:rPr>
      </w:pPr>
      <w:r>
        <w:rPr>
          <w:rFonts w:hint="eastAsia" w:asciiTheme="minorEastAsia" w:hAnsiTheme="minorEastAsia" w:eastAsiaTheme="minorEastAsia"/>
          <w:color w:val="auto"/>
          <w:kern w:val="0"/>
          <w:szCs w:val="24"/>
          <w:highlight w:val="none"/>
        </w:rPr>
        <w:t>供应商名称（公章）：</w:t>
      </w:r>
      <w:r>
        <w:rPr>
          <w:rFonts w:hint="eastAsia" w:asciiTheme="minorEastAsia" w:hAnsiTheme="minorEastAsia" w:eastAsiaTheme="minorEastAsia"/>
          <w:color w:val="auto"/>
          <w:kern w:val="0"/>
          <w:szCs w:val="24"/>
          <w:highlight w:val="none"/>
          <w:u w:val="single"/>
        </w:rPr>
        <w:t xml:space="preserve">                             </w:t>
      </w:r>
    </w:p>
    <w:p>
      <w:pPr>
        <w:adjustRightInd w:val="0"/>
        <w:snapToGrid w:val="0"/>
        <w:spacing w:line="312" w:lineRule="auto"/>
        <w:ind w:firstLine="630" w:firstLineChars="300"/>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kern w:val="0"/>
          <w:szCs w:val="24"/>
          <w:highlight w:val="none"/>
        </w:rPr>
        <w:t>法定代表人（签字或盖章）：</w:t>
      </w:r>
      <w:r>
        <w:rPr>
          <w:rFonts w:hint="eastAsia" w:asciiTheme="minorEastAsia" w:hAnsiTheme="minorEastAsia" w:eastAsiaTheme="minorEastAsia"/>
          <w:color w:val="auto"/>
          <w:kern w:val="0"/>
          <w:szCs w:val="24"/>
          <w:highlight w:val="none"/>
          <w:u w:val="single"/>
        </w:rPr>
        <w:t xml:space="preserve">                       </w:t>
      </w:r>
    </w:p>
    <w:p>
      <w:pPr>
        <w:adjustRightInd w:val="0"/>
        <w:snapToGrid w:val="0"/>
        <w:spacing w:line="312" w:lineRule="auto"/>
        <w:ind w:firstLine="630" w:firstLineChars="300"/>
        <w:rPr>
          <w:rFonts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szCs w:val="24"/>
          <w:highlight w:val="none"/>
        </w:rPr>
        <w:t>授权代表</w:t>
      </w:r>
      <w:r>
        <w:rPr>
          <w:rFonts w:hint="eastAsia" w:asciiTheme="minorEastAsia" w:hAnsiTheme="minorEastAsia" w:eastAsiaTheme="minorEastAsia"/>
          <w:color w:val="auto"/>
          <w:kern w:val="0"/>
          <w:szCs w:val="24"/>
          <w:highlight w:val="none"/>
        </w:rPr>
        <w:t xml:space="preserve">（签名）： </w:t>
      </w:r>
      <w:r>
        <w:rPr>
          <w:rFonts w:hint="eastAsia" w:asciiTheme="minorEastAsia" w:hAnsiTheme="minorEastAsia" w:eastAsiaTheme="minorEastAsia"/>
          <w:color w:val="auto"/>
          <w:kern w:val="0"/>
          <w:szCs w:val="24"/>
          <w:highlight w:val="none"/>
          <w:u w:val="single"/>
        </w:rPr>
        <w:t xml:space="preserve">                              </w:t>
      </w:r>
    </w:p>
    <w:p>
      <w:pPr>
        <w:adjustRightInd w:val="0"/>
        <w:snapToGrid w:val="0"/>
        <w:spacing w:line="312" w:lineRule="auto"/>
        <w:ind w:firstLine="630" w:firstLineChars="300"/>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授权代表</w:t>
      </w:r>
      <w:r>
        <w:rPr>
          <w:rFonts w:hint="eastAsia" w:asciiTheme="minorEastAsia" w:hAnsiTheme="minorEastAsia" w:eastAsiaTheme="minorEastAsia"/>
          <w:color w:val="auto"/>
          <w:kern w:val="0"/>
          <w:szCs w:val="24"/>
          <w:highlight w:val="none"/>
        </w:rPr>
        <w:t>身份证号码：</w:t>
      </w:r>
      <w:r>
        <w:rPr>
          <w:rFonts w:hint="eastAsia" w:asciiTheme="minorEastAsia" w:hAnsiTheme="minorEastAsia" w:eastAsiaTheme="minorEastAsia"/>
          <w:color w:val="auto"/>
          <w:kern w:val="0"/>
          <w:szCs w:val="24"/>
          <w:highlight w:val="none"/>
          <w:u w:val="single"/>
        </w:rPr>
        <w:t xml:space="preserve">                             </w:t>
      </w:r>
    </w:p>
    <w:p>
      <w:pPr>
        <w:adjustRightInd w:val="0"/>
        <w:snapToGrid w:val="0"/>
        <w:spacing w:line="312" w:lineRule="auto"/>
        <w:ind w:firstLine="630" w:firstLineChars="3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移动电话：</w:t>
      </w:r>
      <w:r>
        <w:rPr>
          <w:rFonts w:hint="eastAsia" w:asciiTheme="minorEastAsia" w:hAnsiTheme="minorEastAsia" w:eastAsiaTheme="minorEastAsia"/>
          <w:color w:val="auto"/>
          <w:kern w:val="0"/>
          <w:szCs w:val="24"/>
          <w:highlight w:val="none"/>
          <w:u w:val="single"/>
        </w:rPr>
        <w:t xml:space="preserve">                                       </w:t>
      </w:r>
    </w:p>
    <w:p>
      <w:pPr>
        <w:adjustRightInd w:val="0"/>
        <w:snapToGrid w:val="0"/>
        <w:spacing w:line="312" w:lineRule="auto"/>
        <w:ind w:firstLine="630" w:firstLineChars="300"/>
        <w:rPr>
          <w:rFonts w:asciiTheme="minorEastAsia" w:hAnsiTheme="minorEastAsia" w:eastAsiaTheme="minorEastAsia"/>
          <w:color w:val="auto"/>
          <w:szCs w:val="24"/>
          <w:highlight w:val="none"/>
        </w:rPr>
      </w:pPr>
    </w:p>
    <w:p>
      <w:pPr>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32385</wp:posOffset>
                </wp:positionV>
                <wp:extent cx="5229225" cy="1924050"/>
                <wp:effectExtent l="0" t="0" r="28575" b="1905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229225" cy="192405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ind w:firstLine="0" w:firstLineChars="0"/>
                            </w:pPr>
                            <w:r>
                              <w:rPr>
                                <w:rFonts w:hint="eastAsia"/>
                              </w:rPr>
                              <w:t>附：法定代表人身份证复印件（正、反面）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75pt;margin-top:2.55pt;height:151.5pt;width:411.75pt;z-index:251659264;mso-width-relative:page;mso-height-relative:page;" fillcolor="#FFFFFF" filled="t" stroked="t" coordsize="21600,21600" o:gfxdata="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77JI/VAAAABwEAAA8AAAAAAAAAAQAgAAAAIgAAAGRycy9k&#10;b3ducmV2LnhtbFBLAQIUABQAAAAIAIdO4kCUMBHsdwIAAAIFAAAOAAAAAAAAAAEAIAAAACQBAABk&#10;cnMvZTJvRG9jLnhtbFBLBQYAAAAABgAGAFkBAAANBgAAAAA=&#10;">
                <v:fill type="gradient" on="t" color2="#FFFFFF" angle="90" focus="100%" focussize="0,0">
                  <o:fill type="gradientUnscaled" v:ext="backwardCompatible"/>
                </v:fill>
                <v:stroke color="#000000" miterlimit="8" joinstyle="miter"/>
                <v:imagedata o:title=""/>
                <o:lock v:ext="edit" aspectratio="f"/>
                <v:textbox>
                  <w:txbxContent>
                    <w:p>
                      <w:pPr>
                        <w:ind w:firstLine="0" w:firstLineChars="0"/>
                      </w:pPr>
                      <w:r>
                        <w:rPr>
                          <w:rFonts w:hint="eastAsia"/>
                        </w:rPr>
                        <w:t>附：法定代表人身份证复印件（正、反面）</w:t>
                      </w:r>
                    </w:p>
                  </w:txbxContent>
                </v:textbox>
              </v:shape>
            </w:pict>
          </mc:Fallback>
        </mc:AlternateContent>
      </w:r>
    </w:p>
    <w:p>
      <w:pPr>
        <w:ind w:firstLine="420"/>
        <w:rPr>
          <w:rFonts w:asciiTheme="minorEastAsia" w:hAnsiTheme="minorEastAsia" w:eastAsiaTheme="minorEastAsia"/>
          <w:color w:val="auto"/>
          <w:szCs w:val="24"/>
          <w:highlight w:val="none"/>
        </w:rPr>
      </w:pPr>
    </w:p>
    <w:p>
      <w:pPr>
        <w:ind w:firstLine="420"/>
        <w:rPr>
          <w:rFonts w:asciiTheme="minorEastAsia" w:hAnsiTheme="minorEastAsia" w:eastAsiaTheme="minorEastAsia"/>
          <w:color w:val="auto"/>
          <w:szCs w:val="24"/>
          <w:highlight w:val="none"/>
        </w:rPr>
      </w:pPr>
    </w:p>
    <w:p>
      <w:pPr>
        <w:ind w:firstLine="420"/>
        <w:rPr>
          <w:rFonts w:asciiTheme="minorEastAsia" w:hAnsiTheme="minorEastAsia" w:eastAsiaTheme="minorEastAsia"/>
          <w:color w:val="auto"/>
          <w:szCs w:val="24"/>
          <w:highlight w:val="none"/>
        </w:rPr>
      </w:pPr>
    </w:p>
    <w:p>
      <w:pPr>
        <w:ind w:firstLine="420"/>
        <w:rPr>
          <w:rFonts w:asciiTheme="minorEastAsia" w:hAnsiTheme="minorEastAsia" w:eastAsiaTheme="minorEastAsia"/>
          <w:color w:val="auto"/>
          <w:szCs w:val="24"/>
          <w:highlight w:val="none"/>
        </w:rPr>
      </w:pPr>
    </w:p>
    <w:p>
      <w:pPr>
        <w:autoSpaceDE w:val="0"/>
        <w:autoSpaceDN w:val="0"/>
        <w:ind w:left="269" w:leftChars="128" w:firstLine="420"/>
        <w:jc w:val="right"/>
        <w:rPr>
          <w:rFonts w:asciiTheme="minorEastAsia" w:hAnsiTheme="minorEastAsia" w:eastAsiaTheme="minorEastAsia"/>
          <w:color w:val="auto"/>
          <w:szCs w:val="24"/>
          <w:highlight w:val="none"/>
        </w:rPr>
      </w:pPr>
    </w:p>
    <w:p>
      <w:pPr>
        <w:autoSpaceDE w:val="0"/>
        <w:autoSpaceDN w:val="0"/>
        <w:ind w:left="269" w:leftChars="128" w:firstLine="420"/>
        <w:jc w:val="righ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287655</wp:posOffset>
                </wp:positionV>
                <wp:extent cx="5229225" cy="1924050"/>
                <wp:effectExtent l="0" t="0" r="28575" b="1905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229225" cy="192405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ind w:firstLine="0" w:firstLineChars="0"/>
                            </w:pPr>
                            <w:r>
                              <w:rPr>
                                <w:rFonts w:hint="eastAsia"/>
                              </w:rPr>
                              <w:t>附：授权代表身份证复印件（正、反面）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75pt;margin-top:22.65pt;height:151.5pt;width:411.75pt;z-index:251660288;mso-width-relative:page;mso-height-relative:page;" fillcolor="#FFFFFF" filled="t" stroked="t" coordsize="21600,21600" o:gfxdata="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wv6I7XAAAACAEAAA8AAAAAAAAAAQAgAAAAIgAAAGRy&#10;cy9kb3ducmV2LnhtbFBLAQIUABQAAAAIAIdO4kDOyWgAeAIAAAQFAAAOAAAAAAAAAAEAIAAAACYB&#10;AABkcnMvZTJvRG9jLnhtbFBLBQYAAAAABgAGAFkBAAAQBgAAAAA=&#10;">
                <v:fill type="gradient" on="t" color2="#FFFFFF" angle="90" focus="100%" focussize="0,0">
                  <o:fill type="gradientUnscaled" v:ext="backwardCompatible"/>
                </v:fill>
                <v:stroke color="#000000" miterlimit="8" joinstyle="miter"/>
                <v:imagedata o:title=""/>
                <o:lock v:ext="edit" aspectratio="f"/>
                <v:textbox>
                  <w:txbxContent>
                    <w:p>
                      <w:pPr>
                        <w:ind w:firstLine="0" w:firstLineChars="0"/>
                      </w:pPr>
                      <w:r>
                        <w:rPr>
                          <w:rFonts w:hint="eastAsia"/>
                        </w:rPr>
                        <w:t>附：授权代表身份证复印件（正、反面）</w:t>
                      </w:r>
                    </w:p>
                  </w:txbxContent>
                </v:textbox>
              </v:shape>
            </w:pict>
          </mc:Fallback>
        </mc:AlternateContent>
      </w:r>
    </w:p>
    <w:p>
      <w:pPr>
        <w:ind w:left="480" w:firstLine="420"/>
        <w:jc w:val="right"/>
        <w:rPr>
          <w:rFonts w:asciiTheme="minorEastAsia" w:hAnsiTheme="minorEastAsia" w:eastAsiaTheme="minorEastAsia"/>
          <w:color w:val="auto"/>
          <w:szCs w:val="24"/>
          <w:highlight w:val="none"/>
        </w:rPr>
      </w:pPr>
    </w:p>
    <w:p>
      <w:pPr>
        <w:ind w:left="480" w:firstLine="420"/>
        <w:jc w:val="right"/>
        <w:rPr>
          <w:rFonts w:asciiTheme="minorEastAsia" w:hAnsiTheme="minorEastAsia" w:eastAsiaTheme="minorEastAsia"/>
          <w:color w:val="auto"/>
          <w:szCs w:val="24"/>
          <w:highlight w:val="none"/>
        </w:rPr>
      </w:pPr>
    </w:p>
    <w:p>
      <w:pPr>
        <w:adjustRightInd w:val="0"/>
        <w:snapToGrid w:val="0"/>
        <w:ind w:firstLine="420"/>
        <w:rPr>
          <w:rFonts w:asciiTheme="minorEastAsia" w:hAnsiTheme="minorEastAsia" w:eastAsiaTheme="minorEastAsia"/>
          <w:bCs/>
          <w:color w:val="auto"/>
          <w:szCs w:val="24"/>
          <w:highlight w:val="none"/>
        </w:rPr>
      </w:pPr>
    </w:p>
    <w:p>
      <w:pPr>
        <w:ind w:firstLine="420"/>
        <w:rPr>
          <w:rFonts w:cs="宋体" w:asciiTheme="minorEastAsia" w:hAnsiTheme="minorEastAsia" w:eastAsiaTheme="minorEastAsia"/>
          <w:color w:val="auto"/>
          <w:szCs w:val="24"/>
          <w:highlight w:val="none"/>
        </w:rPr>
      </w:pPr>
    </w:p>
    <w:p>
      <w:pPr>
        <w:ind w:firstLine="420"/>
        <w:rPr>
          <w:rFonts w:cs="宋体" w:asciiTheme="minorEastAsia" w:hAnsiTheme="minorEastAsia" w:eastAsiaTheme="minorEastAsia"/>
          <w:color w:val="auto"/>
          <w:szCs w:val="24"/>
          <w:highlight w:val="none"/>
        </w:rPr>
      </w:pPr>
    </w:p>
    <w:p>
      <w:pPr>
        <w:ind w:firstLine="0" w:firstLineChars="0"/>
        <w:jc w:val="center"/>
        <w:rPr>
          <w:rFonts w:asciiTheme="minorEastAsia" w:hAnsiTheme="minorEastAsia" w:eastAsiaTheme="minorEastAsia"/>
          <w:color w:val="auto"/>
          <w:szCs w:val="24"/>
          <w:highlight w:val="none"/>
        </w:rPr>
      </w:pPr>
      <w:r>
        <w:rPr>
          <w:rFonts w:asciiTheme="minorEastAsia" w:hAnsiTheme="minorEastAsia" w:eastAsiaTheme="minorEastAsia"/>
          <w:color w:val="auto"/>
          <w:highlight w:val="none"/>
        </w:rPr>
        <w:br w:type="page"/>
      </w:r>
      <w:r>
        <w:rPr>
          <w:rFonts w:hint="eastAsia" w:cs="宋体" w:asciiTheme="minorEastAsia" w:hAnsiTheme="minorEastAsia" w:eastAsiaTheme="minorEastAsia"/>
          <w:b/>
          <w:color w:val="auto"/>
          <w:szCs w:val="24"/>
          <w:highlight w:val="none"/>
        </w:rPr>
        <w:t>四、谈判承诺书</w:t>
      </w:r>
    </w:p>
    <w:p>
      <w:pPr>
        <w:spacing w:line="288" w:lineRule="auto"/>
        <w:ind w:firstLine="420"/>
        <w:rPr>
          <w:rFonts w:hint="default"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rPr>
        <w:t>致：</w:t>
      </w:r>
      <w:r>
        <w:rPr>
          <w:rFonts w:hint="eastAsia" w:asciiTheme="minorEastAsia" w:hAnsiTheme="minorEastAsia" w:eastAsiaTheme="minorEastAsia"/>
          <w:color w:val="auto"/>
          <w:szCs w:val="24"/>
          <w:highlight w:val="none"/>
          <w:lang w:val="en-US" w:eastAsia="zh-CN"/>
        </w:rPr>
        <w:t>湖北省鄂东云计算技术服务有限公司</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根据贵方</w:t>
      </w:r>
      <w:r>
        <w:rPr>
          <w:rFonts w:hint="eastAsia" w:asciiTheme="minorEastAsia" w:hAnsiTheme="minorEastAsia" w:eastAsiaTheme="minorEastAsia"/>
          <w:color w:val="auto"/>
          <w:szCs w:val="24"/>
          <w:highlight w:val="none"/>
          <w:u w:val="single"/>
        </w:rPr>
        <w:t>（项目编号，项目名称）</w:t>
      </w:r>
      <w:r>
        <w:rPr>
          <w:rFonts w:hint="eastAsia" w:asciiTheme="minorEastAsia" w:hAnsiTheme="minorEastAsia" w:eastAsiaTheme="minorEastAsia"/>
          <w:color w:val="auto"/>
          <w:szCs w:val="24"/>
          <w:highlight w:val="none"/>
        </w:rPr>
        <w:t>的谈判公告，</w:t>
      </w:r>
      <w:r>
        <w:rPr>
          <w:rFonts w:hint="eastAsia" w:asciiTheme="minorEastAsia" w:hAnsiTheme="minorEastAsia" w:eastAsiaTheme="minorEastAsia"/>
          <w:color w:val="auto"/>
          <w:szCs w:val="24"/>
          <w:highlight w:val="none"/>
          <w:u w:val="single"/>
        </w:rPr>
        <w:t>（供应商名称、地址）</w:t>
      </w:r>
      <w:r>
        <w:rPr>
          <w:rFonts w:hint="eastAsia" w:asciiTheme="minorEastAsia" w:hAnsiTheme="minorEastAsia" w:eastAsiaTheme="minorEastAsia"/>
          <w:color w:val="auto"/>
          <w:szCs w:val="24"/>
          <w:highlight w:val="none"/>
        </w:rPr>
        <w:t>正式授权</w:t>
      </w:r>
      <w:r>
        <w:rPr>
          <w:rFonts w:hint="eastAsia" w:asciiTheme="minorEastAsia" w:hAnsiTheme="minorEastAsia" w:eastAsiaTheme="minorEastAsia"/>
          <w:color w:val="auto"/>
          <w:szCs w:val="24"/>
          <w:highlight w:val="none"/>
          <w:u w:val="single"/>
        </w:rPr>
        <w:t>（授权代表姓名，职务）</w:t>
      </w:r>
      <w:r>
        <w:rPr>
          <w:rFonts w:hint="eastAsia" w:asciiTheme="minorEastAsia" w:hAnsiTheme="minorEastAsia" w:eastAsiaTheme="minorEastAsia"/>
          <w:color w:val="auto"/>
          <w:szCs w:val="24"/>
          <w:highlight w:val="none"/>
        </w:rPr>
        <w:t>以本公司的名义提交竞争性谈判响应文件</w:t>
      </w:r>
      <w:r>
        <w:rPr>
          <w:rFonts w:hint="eastAsia" w:asciiTheme="minorEastAsia" w:hAnsiTheme="minorEastAsia" w:eastAsiaTheme="minorEastAsia"/>
          <w:color w:val="auto"/>
          <w:szCs w:val="24"/>
          <w:highlight w:val="none"/>
          <w:u w:val="single"/>
        </w:rPr>
        <w:t>正本   份、副本   份、电子响应文件   份</w:t>
      </w:r>
      <w:r>
        <w:rPr>
          <w:rFonts w:hint="eastAsia" w:asciiTheme="minorEastAsia" w:hAnsiTheme="minorEastAsia" w:eastAsiaTheme="minorEastAsia"/>
          <w:color w:val="auto"/>
          <w:szCs w:val="24"/>
          <w:highlight w:val="none"/>
        </w:rPr>
        <w:t>。</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并进行如下承诺：</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1、我公司在本响应文件中所提供的全部证明文件均真实有效，我方承诺对其真实性负责并承担相应后果；</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2、我公司在本响应文件中所响应的内容均将成为签订合同的依据，并承诺按响应内容提供相应服务；</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3、我公司与采购人和采购代理机构没有任何隶属关系或其他利益关系；</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lang w:val="en-US" w:eastAsia="zh-CN"/>
        </w:rPr>
        <w:t>4</w:t>
      </w:r>
      <w:r>
        <w:rPr>
          <w:rFonts w:hint="eastAsia" w:asciiTheme="minorEastAsia" w:hAnsiTheme="minorEastAsia" w:eastAsiaTheme="minorEastAsia"/>
          <w:color w:val="auto"/>
          <w:szCs w:val="24"/>
          <w:highlight w:val="none"/>
        </w:rPr>
        <w:t>、我公司单位负责人与其他参加本项目的供应商非同一人或者不存在直接控股、管理关系；</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lang w:val="en-US" w:eastAsia="zh-CN"/>
        </w:rPr>
        <w:t>5</w:t>
      </w:r>
      <w:r>
        <w:rPr>
          <w:rFonts w:hint="eastAsia" w:asciiTheme="minorEastAsia" w:hAnsiTheme="minorEastAsia" w:eastAsiaTheme="minorEastAsia"/>
          <w:color w:val="auto"/>
          <w:szCs w:val="24"/>
          <w:highlight w:val="none"/>
        </w:rPr>
        <w:t>、我公司若有幸成为本项目的成交供应商，则我公司承诺按照采购文件及成交结果公告规定的方式、时间和金额向采购代理机构交纳代理服务费。逾期未交，采购人及采购代理机构有权将我公司上报至政府采购监管部门，并承担被列入政府采购失信行为名单之风险。</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lang w:val="en-US" w:eastAsia="zh-CN"/>
        </w:rPr>
        <w:t>6</w:t>
      </w:r>
      <w:r>
        <w:rPr>
          <w:rFonts w:hint="eastAsia" w:asciiTheme="minorEastAsia" w:hAnsiTheme="minorEastAsia" w:eastAsiaTheme="minorEastAsia"/>
          <w:color w:val="auto"/>
          <w:szCs w:val="24"/>
          <w:highlight w:val="none"/>
        </w:rPr>
        <w:t>、其它承诺(如有的话可自行填写)。</w:t>
      </w:r>
    </w:p>
    <w:p>
      <w:pPr>
        <w:spacing w:line="288" w:lineRule="auto"/>
        <w:ind w:firstLine="420"/>
        <w:rPr>
          <w:rFonts w:asciiTheme="minorEastAsia" w:hAnsiTheme="minorEastAsia" w:eastAsiaTheme="minorEastAsia"/>
          <w:color w:val="auto"/>
          <w:szCs w:val="24"/>
          <w:highlight w:val="none"/>
        </w:rPr>
      </w:pP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在此，我方宣布同意如下：</w:t>
      </w:r>
    </w:p>
    <w:p>
      <w:pPr>
        <w:spacing w:line="288" w:lineRule="auto"/>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w:t>
      </w:r>
      <w:r>
        <w:rPr>
          <w:rFonts w:hint="eastAsia" w:asciiTheme="minorEastAsia" w:hAnsiTheme="minorEastAsia" w:eastAsiaTheme="minorEastAsia"/>
          <w:color w:val="auto"/>
          <w:szCs w:val="24"/>
          <w:highlight w:val="none"/>
        </w:rPr>
        <w:t>、将按采购文件的规定履行合同责任和义务；</w:t>
      </w:r>
    </w:p>
    <w:p>
      <w:pPr>
        <w:spacing w:line="288" w:lineRule="auto"/>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、已详细审查全部采购文件，包括补充文件等（如有），我们完全理解并同意放弃对这方面有不明、误解及异议的权力；</w:t>
      </w:r>
    </w:p>
    <w:p>
      <w:pPr>
        <w:spacing w:line="288" w:lineRule="auto"/>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、本响应文件有效期为提交响应文件截止之日起个</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日历天；</w:t>
      </w:r>
    </w:p>
    <w:p>
      <w:pPr>
        <w:spacing w:line="288" w:lineRule="auto"/>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、同意提供按照贵方可能要求的与本谈判项目有关的一切数据或资料；</w:t>
      </w:r>
    </w:p>
    <w:p>
      <w:pPr>
        <w:spacing w:line="288" w:lineRule="auto"/>
        <w:ind w:firstLine="42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、与本谈判项目有关的一切正式往来信函请寄：</w:t>
      </w:r>
    </w:p>
    <w:p>
      <w:pPr>
        <w:spacing w:line="288" w:lineRule="auto"/>
        <w:ind w:firstLine="42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通讯地址：</w:t>
      </w:r>
      <w:r>
        <w:rPr>
          <w:rFonts w:hint="eastAsia" w:asciiTheme="minorEastAsia" w:hAnsiTheme="minorEastAsia" w:eastAsiaTheme="minorEastAsia"/>
          <w:color w:val="auto"/>
          <w:szCs w:val="24"/>
          <w:highlight w:val="none"/>
          <w:u w:val="single"/>
        </w:rPr>
        <w:t xml:space="preserve">                                </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电话</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传真：</w:t>
      </w:r>
      <w:r>
        <w:rPr>
          <w:rFonts w:hint="eastAsia" w:asciiTheme="minorEastAsia" w:hAnsiTheme="minorEastAsia" w:eastAsiaTheme="minorEastAsia"/>
          <w:color w:val="auto"/>
          <w:szCs w:val="24"/>
          <w:highlight w:val="none"/>
          <w:u w:val="single"/>
        </w:rPr>
        <w:t xml:space="preserve">                               </w:t>
      </w:r>
    </w:p>
    <w:p>
      <w:pPr>
        <w:spacing w:line="288" w:lineRule="auto"/>
        <w:ind w:firstLine="42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电子邮件：</w:t>
      </w:r>
      <w:r>
        <w:rPr>
          <w:rFonts w:hint="eastAsia" w:asciiTheme="minorEastAsia" w:hAnsiTheme="minorEastAsia" w:eastAsiaTheme="minorEastAsia"/>
          <w:color w:val="auto"/>
          <w:szCs w:val="24"/>
          <w:highlight w:val="none"/>
          <w:u w:val="single"/>
        </w:rPr>
        <w:t xml:space="preserve">                                </w:t>
      </w:r>
    </w:p>
    <w:p>
      <w:pPr>
        <w:spacing w:line="288" w:lineRule="auto"/>
        <w:ind w:firstLine="420"/>
        <w:jc w:val="center"/>
        <w:rPr>
          <w:rFonts w:asciiTheme="minorEastAsia" w:hAnsiTheme="minorEastAsia" w:eastAsiaTheme="minorEastAsia"/>
          <w:bCs/>
          <w:color w:val="auto"/>
          <w:szCs w:val="24"/>
          <w:highlight w:val="none"/>
        </w:rPr>
      </w:pPr>
    </w:p>
    <w:p>
      <w:pPr>
        <w:spacing w:line="276" w:lineRule="auto"/>
        <w:ind w:firstLine="42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供应商名称（公章）：</w:t>
      </w:r>
      <w:r>
        <w:rPr>
          <w:rFonts w:hint="eastAsia" w:asciiTheme="minorEastAsia" w:hAnsiTheme="minorEastAsia" w:eastAsiaTheme="minorEastAsia"/>
          <w:color w:val="auto"/>
          <w:szCs w:val="24"/>
          <w:highlight w:val="none"/>
          <w:u w:val="single"/>
        </w:rPr>
        <w:t xml:space="preserve">                               </w:t>
      </w:r>
    </w:p>
    <w:p>
      <w:pPr>
        <w:spacing w:line="276" w:lineRule="auto"/>
        <w:ind w:firstLine="42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法定代表人或授权代表（签字或盖章）：</w:t>
      </w:r>
      <w:r>
        <w:rPr>
          <w:rFonts w:hint="eastAsia" w:asciiTheme="minorEastAsia" w:hAnsiTheme="minorEastAsia" w:eastAsiaTheme="minorEastAsia"/>
          <w:color w:val="auto"/>
          <w:szCs w:val="24"/>
          <w:highlight w:val="none"/>
          <w:u w:val="single"/>
        </w:rPr>
        <w:t xml:space="preserve">               </w:t>
      </w:r>
    </w:p>
    <w:p>
      <w:pPr>
        <w:spacing w:line="276" w:lineRule="auto"/>
        <w:ind w:firstLine="420"/>
        <w:rPr>
          <w:rFonts w:asciiTheme="minorEastAsia" w:hAnsiTheme="minorEastAsia" w:eastAsiaTheme="minorEastAsia"/>
          <w:color w:val="auto"/>
          <w:highlight w:val="none"/>
        </w:rPr>
      </w:pPr>
      <w:r>
        <w:rPr>
          <w:rFonts w:hint="eastAsia" w:asciiTheme="minorEastAsia" w:hAnsiTheme="minorEastAsia" w:eastAsiaTheme="minorEastAsia"/>
          <w:bCs/>
          <w:color w:val="auto"/>
          <w:highlight w:val="none"/>
        </w:rPr>
        <w:t>日期：</w:t>
      </w:r>
      <w:r>
        <w:rPr>
          <w:rFonts w:hint="eastAsia" w:asciiTheme="minorEastAsia" w:hAnsiTheme="minorEastAsia" w:eastAsiaTheme="minorEastAsia"/>
          <w:color w:val="auto"/>
          <w:kern w:val="0"/>
          <w:szCs w:val="24"/>
          <w:highlight w:val="none"/>
          <w:u w:val="single"/>
        </w:rPr>
        <w:t xml:space="preserve">    </w:t>
      </w:r>
      <w:r>
        <w:rPr>
          <w:rFonts w:hint="eastAsia" w:cs="宋体" w:asciiTheme="minorEastAsia" w:hAnsiTheme="minorEastAsia" w:eastAsiaTheme="minorEastAsia"/>
          <w:color w:val="auto"/>
          <w:szCs w:val="24"/>
          <w:highlight w:val="none"/>
          <w:u w:val="single"/>
        </w:rPr>
        <w:t>年   月   日</w:t>
      </w:r>
    </w:p>
    <w:p>
      <w:pPr>
        <w:ind w:firstLine="0" w:firstLineChars="0"/>
        <w:jc w:val="center"/>
        <w:rPr>
          <w:rFonts w:cs="宋体" w:asciiTheme="minorEastAsia" w:hAnsiTheme="minorEastAsia" w:eastAsiaTheme="minorEastAsia"/>
          <w:color w:val="auto"/>
          <w:szCs w:val="24"/>
          <w:highlight w:val="none"/>
        </w:rPr>
      </w:pPr>
      <w:r>
        <w:rPr>
          <w:rFonts w:cs="宋体" w:asciiTheme="minorEastAsia" w:hAnsiTheme="minorEastAsia" w:eastAsiaTheme="minorEastAsia"/>
          <w:color w:val="auto"/>
          <w:szCs w:val="24"/>
          <w:highlight w:val="none"/>
        </w:rPr>
        <w:t xml:space="preserve"> </w:t>
      </w:r>
    </w:p>
    <w:p>
      <w:pPr>
        <w:ind w:firstLine="420"/>
        <w:rPr>
          <w:rFonts w:cs="宋体" w:asciiTheme="minorEastAsia" w:hAnsiTheme="minorEastAsia" w:eastAsiaTheme="minorEastAsia"/>
          <w:color w:val="auto"/>
          <w:szCs w:val="24"/>
          <w:highlight w:val="none"/>
        </w:rPr>
        <w:sectPr>
          <w:pgSz w:w="11906" w:h="16838"/>
          <w:pgMar w:top="1440" w:right="1800" w:bottom="1440" w:left="1800" w:header="851" w:footer="992" w:gutter="0"/>
          <w:pgNumType w:fmt="numberInDash"/>
          <w:cols w:space="720" w:num="1"/>
          <w:docGrid w:type="lines" w:linePitch="312" w:charSpace="0"/>
        </w:sectPr>
      </w:pPr>
    </w:p>
    <w:p>
      <w:pPr>
        <w:ind w:firstLine="0" w:firstLineChars="0"/>
        <w:jc w:val="center"/>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五、报价表</w:t>
      </w:r>
    </w:p>
    <w:p>
      <w:pPr>
        <w:ind w:firstLine="0" w:firstLineChars="0"/>
        <w:jc w:val="center"/>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（一）报价一览表</w:t>
      </w:r>
      <w:r>
        <w:rPr>
          <w:rFonts w:hint="eastAsia" w:cs="宋体" w:asciiTheme="minorEastAsia" w:hAnsiTheme="minorEastAsia" w:eastAsiaTheme="minorEastAsia"/>
          <w:b/>
          <w:color w:val="auto"/>
          <w:szCs w:val="24"/>
          <w:highlight w:val="none"/>
          <w:u w:val="single"/>
        </w:rPr>
        <w:t>（首次/最终报价表（根据情况自行调整））</w:t>
      </w:r>
    </w:p>
    <w:tbl>
      <w:tblPr>
        <w:tblStyle w:val="34"/>
        <w:tblW w:w="8655"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ind w:firstLine="0" w:firstLineChars="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项目名称</w:t>
            </w:r>
          </w:p>
        </w:tc>
        <w:tc>
          <w:tcPr>
            <w:tcW w:w="6662" w:type="dxa"/>
            <w:vAlign w:val="center"/>
          </w:tcPr>
          <w:p>
            <w:pPr>
              <w:ind w:firstLine="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lang w:eastAsia="zh-CN"/>
              </w:rPr>
              <w:t>鄂东云互联网专线采购项目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ind w:firstLine="0" w:firstLineChars="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项目编号</w:t>
            </w:r>
          </w:p>
        </w:tc>
        <w:tc>
          <w:tcPr>
            <w:tcW w:w="6662" w:type="dxa"/>
            <w:vAlign w:val="center"/>
          </w:tcPr>
          <w:p>
            <w:pPr>
              <w:ind w:firstLine="0" w:firstLineChars="0"/>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lang w:val="en-US" w:eastAsia="zh-CN"/>
              </w:rPr>
              <w:t>EDY-HLWZXCG-20221026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spacing w:line="280" w:lineRule="exact"/>
              <w:ind w:firstLine="0" w:firstLineChars="0"/>
              <w:jc w:val="center"/>
              <w:rPr>
                <w:rFonts w:hint="default"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lang w:val="en-US" w:eastAsia="zh-CN"/>
              </w:rPr>
              <w:t>服务期</w:t>
            </w:r>
          </w:p>
        </w:tc>
        <w:tc>
          <w:tcPr>
            <w:tcW w:w="6662" w:type="dxa"/>
            <w:vAlign w:val="center"/>
          </w:tcPr>
          <w:p>
            <w:pPr>
              <w:spacing w:line="280" w:lineRule="exact"/>
              <w:ind w:firstLine="0" w:firstLineChars="0"/>
              <w:rPr>
                <w:rFonts w:asciiTheme="minorEastAsia" w:hAnsiTheme="minorEastAsia" w:eastAsiaTheme="minorEastAsia"/>
                <w:color w:val="auto"/>
                <w:szCs w:val="24"/>
                <w:highlight w:val="none"/>
              </w:rPr>
            </w:pP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w:t>
            </w:r>
            <w:r>
              <w:rPr>
                <w:rFonts w:hint="eastAsia" w:asciiTheme="minorEastAsia" w:hAnsiTheme="minorEastAsia" w:eastAsiaTheme="minorEastAsia"/>
                <w:color w:val="auto"/>
                <w:highlight w:val="none"/>
                <w:u w:val="single"/>
                <w:lang w:val="en-US" w:eastAsia="zh-CN" w:bidi="en-US"/>
              </w:rPr>
              <w:t>1</w:t>
            </w:r>
            <w:r>
              <w:rPr>
                <w:rFonts w:hint="eastAsia" w:asciiTheme="minorEastAsia" w:hAnsiTheme="minorEastAsia" w:eastAsiaTheme="minorEastAsia"/>
                <w:color w:val="auto"/>
                <w:highlight w:val="none"/>
                <w:lang w:val="en-US" w:eastAsia="zh-CN" w:bidi="en-US"/>
              </w:rPr>
              <w:t>年</w:t>
            </w:r>
            <w:r>
              <w:rPr>
                <w:rFonts w:hint="eastAsia" w:asciiTheme="minorEastAsia" w:hAnsiTheme="minorEastAsia" w:eastAsiaTheme="minorEastAsia"/>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spacing w:line="280" w:lineRule="exact"/>
              <w:ind w:firstLine="0" w:firstLineChars="0"/>
              <w:jc w:val="center"/>
              <w:rPr>
                <w:rFonts w:hint="eastAsia"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lang w:val="zh-CN"/>
              </w:rPr>
              <w:t>成果交付日期</w:t>
            </w:r>
          </w:p>
        </w:tc>
        <w:tc>
          <w:tcPr>
            <w:tcW w:w="6662" w:type="dxa"/>
            <w:vAlign w:val="center"/>
          </w:tcPr>
          <w:p>
            <w:pPr>
              <w:spacing w:line="400" w:lineRule="exact"/>
              <w:ind w:left="0" w:leftChars="0" w:firstLine="0" w:firstLineChars="0"/>
              <w:rPr>
                <w:rFonts w:hint="eastAsia" w:asciiTheme="minorEastAsia" w:hAnsiTheme="minorEastAsia" w:eastAsiaTheme="minorEastAsia"/>
                <w:color w:val="auto"/>
                <w:szCs w:val="24"/>
                <w:highlight w:val="none"/>
              </w:rPr>
            </w:pPr>
            <w:r>
              <w:rPr>
                <w:rFonts w:hint="eastAsia" w:cs="仿宋" w:asciiTheme="minorEastAsia" w:hAnsiTheme="minorEastAsia" w:eastAsiaTheme="minorEastAsia"/>
                <w:color w:val="auto"/>
                <w:highlight w:val="none"/>
              </w:rPr>
              <w:t>合同签订之</w:t>
            </w:r>
            <w:r>
              <w:rPr>
                <w:rFonts w:hint="eastAsia" w:asciiTheme="minorEastAsia" w:hAnsiTheme="minorEastAsia" w:eastAsiaTheme="minorEastAsia"/>
                <w:color w:val="auto"/>
                <w:highlight w:val="none"/>
                <w:lang w:bidi="en-US"/>
              </w:rPr>
              <w:t>日</w:t>
            </w:r>
            <w:r>
              <w:rPr>
                <w:rFonts w:hint="eastAsia" w:asciiTheme="minorEastAsia" w:hAnsiTheme="minorEastAsia" w:eastAsiaTheme="minorEastAsia"/>
                <w:color w:val="auto"/>
                <w:highlight w:val="none"/>
                <w:lang w:val="en-US" w:eastAsia="zh-CN" w:bidi="en-US"/>
              </w:rPr>
              <w:t>起</w:t>
            </w:r>
            <w:r>
              <w:rPr>
                <w:rFonts w:hint="eastAsia" w:asciiTheme="minorEastAsia" w:hAnsiTheme="minorEastAsia" w:eastAsiaTheme="minorEastAsia"/>
                <w:color w:val="auto"/>
                <w:highlight w:val="none"/>
                <w:u w:val="single"/>
                <w:lang w:val="en-US" w:eastAsia="zh-CN" w:bidi="en-US"/>
              </w:rPr>
              <w:t xml:space="preserve">       </w:t>
            </w:r>
            <w:r>
              <w:rPr>
                <w:rFonts w:hint="eastAsia" w:asciiTheme="minorEastAsia" w:hAnsiTheme="minorEastAsia" w:eastAsiaTheme="minorEastAsia"/>
                <w:color w:val="auto"/>
                <w:highlight w:val="none"/>
                <w:lang w:val="en-US" w:eastAsia="zh-CN" w:bidi="en-US"/>
              </w:rPr>
              <w:t>日内完成互联网专线开通工作以及交付公网IP地址。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spacing w:line="280" w:lineRule="exact"/>
              <w:ind w:firstLine="0" w:firstLineChars="0"/>
              <w:jc w:val="center"/>
              <w:rPr>
                <w:rFonts w:hint="eastAsia"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en-US" w:eastAsia="zh-CN"/>
              </w:rPr>
              <w:t>服务响应要求</w:t>
            </w:r>
          </w:p>
        </w:tc>
        <w:tc>
          <w:tcPr>
            <w:tcW w:w="6662" w:type="dxa"/>
            <w:vAlign w:val="center"/>
          </w:tcPr>
          <w:p>
            <w:pPr>
              <w:spacing w:line="280" w:lineRule="exact"/>
              <w:ind w:firstLine="0" w:firstLineChars="0"/>
              <w:rPr>
                <w:rFonts w:hint="eastAsia"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lang w:val="en-US" w:eastAsia="zh-CN"/>
              </w:rPr>
              <w:t>服务</w:t>
            </w:r>
            <w:r>
              <w:rPr>
                <w:rFonts w:hint="eastAsia" w:asciiTheme="minorEastAsia" w:hAnsiTheme="minorEastAsia" w:eastAsiaTheme="minorEastAsia"/>
                <w:color w:val="auto"/>
                <w:szCs w:val="24"/>
                <w:highlight w:val="none"/>
                <w:lang w:val="zh-CN"/>
              </w:rPr>
              <w:t xml:space="preserve">期内， </w:t>
            </w:r>
            <w:r>
              <w:rPr>
                <w:rFonts w:hint="eastAsia" w:asciiTheme="minorEastAsia" w:hAnsiTheme="minorEastAsia" w:eastAsiaTheme="minorEastAsia"/>
                <w:color w:val="auto"/>
                <w:szCs w:val="24"/>
                <w:highlight w:val="none"/>
                <w:u w:val="single"/>
                <w:lang w:val="en-US" w:eastAsia="zh-CN"/>
              </w:rPr>
              <w:t xml:space="preserve">      </w:t>
            </w:r>
            <w:r>
              <w:rPr>
                <w:rFonts w:hint="eastAsia" w:asciiTheme="minorEastAsia" w:hAnsiTheme="minorEastAsia" w:eastAsiaTheme="minorEastAsia"/>
                <w:color w:val="auto"/>
                <w:szCs w:val="24"/>
                <w:highlight w:val="none"/>
                <w:lang w:val="zh-CN"/>
              </w:rPr>
              <w:t>小时响应，</w:t>
            </w:r>
            <w:r>
              <w:rPr>
                <w:rFonts w:hint="eastAsia" w:asciiTheme="minorEastAsia" w:hAnsiTheme="minorEastAsia" w:eastAsiaTheme="minorEastAsia"/>
                <w:color w:val="auto"/>
                <w:szCs w:val="24"/>
                <w:highlight w:val="none"/>
                <w:u w:val="single"/>
                <w:lang w:val="en-US" w:eastAsia="zh-CN"/>
              </w:rPr>
              <w:t xml:space="preserve">      </w:t>
            </w:r>
            <w:r>
              <w:rPr>
                <w:rFonts w:hint="eastAsia" w:asciiTheme="minorEastAsia" w:hAnsiTheme="minorEastAsia" w:eastAsiaTheme="minorEastAsia"/>
                <w:color w:val="auto"/>
                <w:szCs w:val="24"/>
                <w:highlight w:val="none"/>
                <w:lang w:val="zh-CN"/>
              </w:rPr>
              <w:t>小时解决。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3" w:type="dxa"/>
            <w:vAlign w:val="center"/>
          </w:tcPr>
          <w:p>
            <w:pPr>
              <w:spacing w:line="280" w:lineRule="exact"/>
              <w:ind w:firstLine="0" w:firstLineChars="0"/>
              <w:jc w:val="center"/>
              <w:rPr>
                <w:rFonts w:hint="default"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lang w:val="en-US" w:eastAsia="zh-CN"/>
              </w:rPr>
              <w:t>服务质量要求</w:t>
            </w:r>
          </w:p>
        </w:tc>
        <w:tc>
          <w:tcPr>
            <w:tcW w:w="6662" w:type="dxa"/>
            <w:vAlign w:val="center"/>
          </w:tcPr>
          <w:p>
            <w:pPr>
              <w:spacing w:line="280" w:lineRule="exact"/>
              <w:ind w:firstLine="0" w:firstLineChars="0"/>
              <w:rPr>
                <w:rFonts w:hint="eastAsia" w:asciiTheme="minorEastAsia" w:hAnsiTheme="minorEastAsia" w:eastAsiaTheme="minorEastAsia"/>
                <w:color w:val="auto"/>
                <w:szCs w:val="24"/>
                <w:highlight w:val="none"/>
                <w:lang w:val="en-US" w:eastAsia="zh-CN"/>
              </w:rPr>
            </w:pPr>
            <w:r>
              <w:rPr>
                <w:rFonts w:hint="eastAsia" w:cs="宋体" w:asciiTheme="minorEastAsia" w:hAnsiTheme="minorEastAsia" w:eastAsiaTheme="minorEastAsia"/>
                <w:color w:val="auto"/>
                <w:highlight w:val="none"/>
                <w:lang w:val="en-US" w:eastAsia="zh-CN"/>
              </w:rPr>
              <w:t>500M带宽上下行对等，误码秒≤6个/2小时，误码率≤10E-7。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993" w:type="dxa"/>
            <w:vAlign w:val="center"/>
          </w:tcPr>
          <w:p>
            <w:pPr>
              <w:adjustRightInd w:val="0"/>
              <w:snapToGrid w:val="0"/>
              <w:spacing w:line="240" w:lineRule="auto"/>
              <w:ind w:firstLine="0" w:firstLineChars="0"/>
              <w:jc w:val="center"/>
              <w:rPr>
                <w:rFonts w:hint="eastAsia"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项目负责人</w:t>
            </w:r>
          </w:p>
        </w:tc>
        <w:tc>
          <w:tcPr>
            <w:tcW w:w="6662" w:type="dxa"/>
            <w:vAlign w:val="center"/>
          </w:tcPr>
          <w:p>
            <w:pPr>
              <w:ind w:firstLine="0" w:firstLineChars="0"/>
              <w:rPr>
                <w:rFonts w:cs="宋体" w:asciiTheme="minorEastAsia" w:hAnsiTheme="minorEastAsia" w:eastAsiaTheme="minorEastAsia"/>
                <w:color w:val="auto"/>
                <w:highlight w:val="none"/>
                <w:lang w:val="zh-CN"/>
              </w:rPr>
            </w:pPr>
            <w:r>
              <w:rPr>
                <w:rFonts w:asciiTheme="minorEastAsia" w:hAnsiTheme="minorEastAsia" w:eastAsiaTheme="minorEastAsia"/>
                <w:color w:val="auto"/>
                <w:szCs w:val="24"/>
                <w:highlight w:val="none"/>
              </w:rPr>
              <w:t>姓名</w:t>
            </w:r>
            <w:r>
              <w:rPr>
                <w:rFonts w:hint="eastAsia" w:asciiTheme="minorEastAsia" w:hAnsiTheme="minorEastAsia" w:eastAsiaTheme="minorEastAsia"/>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993" w:type="dxa"/>
            <w:vAlign w:val="center"/>
          </w:tcPr>
          <w:p>
            <w:pPr>
              <w:ind w:firstLine="0" w:firstLineChars="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投标总报价</w:t>
            </w:r>
          </w:p>
        </w:tc>
        <w:tc>
          <w:tcPr>
            <w:tcW w:w="6662" w:type="dxa"/>
            <w:vAlign w:val="center"/>
          </w:tcPr>
          <w:p>
            <w:pPr>
              <w:ind w:firstLine="0" w:firstLineChars="0"/>
              <w:rPr>
                <w:rFonts w:hint="eastAsia"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大写：</w:t>
            </w:r>
          </w:p>
          <w:p>
            <w:pPr>
              <w:ind w:firstLine="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小写：</w:t>
            </w:r>
          </w:p>
        </w:tc>
      </w:tr>
    </w:tbl>
    <w:p>
      <w:pPr>
        <w:ind w:firstLine="48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w:t>
      </w:r>
    </w:p>
    <w:p>
      <w:pPr>
        <w:ind w:firstLine="482"/>
        <w:rPr>
          <w:rFonts w:hint="eastAsia"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1、响应总报价为所有费用的合成总计</w:t>
      </w:r>
    </w:p>
    <w:p>
      <w:pPr>
        <w:ind w:firstLine="48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2、开标一览表格式不得自行改动。</w:t>
      </w:r>
    </w:p>
    <w:p>
      <w:pPr>
        <w:ind w:firstLine="482"/>
        <w:rPr>
          <w:rFonts w:asciiTheme="minorEastAsia" w:hAnsiTheme="minorEastAsia" w:eastAsiaTheme="minorEastAsia"/>
          <w:b/>
          <w:color w:val="auto"/>
          <w:sz w:val="24"/>
          <w:highlight w:val="none"/>
        </w:rPr>
      </w:pPr>
    </w:p>
    <w:p>
      <w:pPr>
        <w:ind w:firstLine="422"/>
        <w:rPr>
          <w:rFonts w:hint="eastAsia" w:asciiTheme="minorEastAsia" w:hAnsiTheme="minorEastAsia" w:eastAsiaTheme="minorEastAsia"/>
          <w:b/>
          <w:color w:val="auto"/>
          <w:szCs w:val="24"/>
          <w:highlight w:val="none"/>
        </w:rPr>
      </w:pPr>
    </w:p>
    <w:p>
      <w:pPr>
        <w:ind w:firstLine="42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供应商名称（公章）：</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法定代表人或授权代表（签字或盖章）：</w:t>
      </w:r>
      <w:r>
        <w:rPr>
          <w:rFonts w:hint="eastAsia" w:asciiTheme="minorEastAsia" w:hAnsiTheme="minorEastAsia" w:eastAsiaTheme="minorEastAsia"/>
          <w:color w:val="auto"/>
          <w:szCs w:val="24"/>
          <w:highlight w:val="none"/>
          <w:u w:val="single"/>
        </w:rPr>
        <w:t xml:space="preserve">               </w:t>
      </w:r>
    </w:p>
    <w:p>
      <w:pPr>
        <w:ind w:firstLine="420"/>
        <w:rPr>
          <w:rFonts w:asciiTheme="minorEastAsia" w:hAnsiTheme="minorEastAsia" w:eastAsiaTheme="minorEastAsia"/>
          <w:color w:val="auto"/>
          <w:highlight w:val="none"/>
        </w:rPr>
      </w:pPr>
      <w:r>
        <w:rPr>
          <w:rFonts w:hint="eastAsia" w:asciiTheme="minorEastAsia" w:hAnsiTheme="minorEastAsia" w:eastAsiaTheme="minorEastAsia"/>
          <w:bCs/>
          <w:color w:val="auto"/>
          <w:highlight w:val="none"/>
        </w:rPr>
        <w:t>日期：</w:t>
      </w:r>
      <w:r>
        <w:rPr>
          <w:rFonts w:hint="eastAsia" w:asciiTheme="minorEastAsia" w:hAnsiTheme="minorEastAsia" w:eastAsiaTheme="minorEastAsia"/>
          <w:color w:val="auto"/>
          <w:kern w:val="0"/>
          <w:szCs w:val="24"/>
          <w:highlight w:val="none"/>
          <w:u w:val="single"/>
        </w:rPr>
        <w:t xml:space="preserve">    </w:t>
      </w:r>
      <w:r>
        <w:rPr>
          <w:rFonts w:hint="eastAsia" w:cs="宋体" w:asciiTheme="minorEastAsia" w:hAnsiTheme="minorEastAsia" w:eastAsiaTheme="minorEastAsia"/>
          <w:color w:val="auto"/>
          <w:szCs w:val="24"/>
          <w:highlight w:val="none"/>
          <w:u w:val="single"/>
        </w:rPr>
        <w:t>年   月   日</w:t>
      </w:r>
    </w:p>
    <w:p>
      <w:pPr>
        <w:ind w:firstLine="420"/>
        <w:jc w:val="center"/>
        <w:rPr>
          <w:rFonts w:cs="宋体" w:asciiTheme="minorEastAsia" w:hAnsiTheme="minorEastAsia" w:eastAsiaTheme="minorEastAsia"/>
          <w:color w:val="auto"/>
          <w:szCs w:val="24"/>
          <w:highlight w:val="none"/>
        </w:rPr>
        <w:sectPr>
          <w:pgSz w:w="11906" w:h="16838"/>
          <w:pgMar w:top="1440" w:right="1800" w:bottom="1440" w:left="1800" w:header="851" w:footer="992" w:gutter="0"/>
          <w:pgNumType w:fmt="numberInDash"/>
          <w:cols w:space="720" w:num="1"/>
          <w:docGrid w:type="lines" w:linePitch="312" w:charSpace="0"/>
        </w:sectPr>
      </w:pPr>
    </w:p>
    <w:p>
      <w:pPr>
        <w:ind w:firstLine="0" w:firstLineChars="0"/>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六、资格证明文件</w:t>
      </w:r>
    </w:p>
    <w:p>
      <w:pPr>
        <w:ind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（内容详见第四章“评审办法”中的资格、符合性审查表）</w:t>
      </w:r>
    </w:p>
    <w:p>
      <w:pPr>
        <w:spacing w:line="288" w:lineRule="auto"/>
        <w:ind w:firstLine="3570" w:firstLineChars="1700"/>
        <w:rPr>
          <w:rFonts w:asciiTheme="minorEastAsia" w:hAnsiTheme="minorEastAsia" w:eastAsiaTheme="minorEastAsia"/>
          <w:color w:val="auto"/>
          <w:szCs w:val="24"/>
          <w:highlight w:val="none"/>
        </w:rPr>
      </w:pPr>
    </w:p>
    <w:p>
      <w:pPr>
        <w:ind w:firstLine="420"/>
        <w:rPr>
          <w:rFonts w:cs="宋体" w:asciiTheme="minorEastAsia" w:hAnsiTheme="minorEastAsia" w:eastAsiaTheme="minorEastAsia"/>
          <w:color w:val="auto"/>
          <w:szCs w:val="24"/>
          <w:highlight w:val="none"/>
        </w:rPr>
      </w:pPr>
    </w:p>
    <w:p>
      <w:pPr>
        <w:widowControl/>
        <w:spacing w:line="240" w:lineRule="auto"/>
        <w:ind w:firstLine="0" w:firstLineChars="0"/>
        <w:rPr>
          <w:rFonts w:cs="宋体" w:asciiTheme="minorEastAsia" w:hAnsiTheme="minorEastAsia" w:eastAsiaTheme="minorEastAsia"/>
          <w:b/>
          <w:color w:val="auto"/>
          <w:szCs w:val="24"/>
          <w:highlight w:val="none"/>
        </w:rPr>
      </w:pPr>
      <w:r>
        <w:rPr>
          <w:rFonts w:cs="宋体" w:asciiTheme="minorEastAsia" w:hAnsiTheme="minorEastAsia" w:eastAsiaTheme="minorEastAsia"/>
          <w:b/>
          <w:color w:val="auto"/>
          <w:szCs w:val="24"/>
          <w:highlight w:val="none"/>
        </w:rPr>
        <w:br w:type="page"/>
      </w:r>
    </w:p>
    <w:p>
      <w:pPr>
        <w:ind w:firstLine="0" w:firstLineChars="0"/>
        <w:jc w:val="center"/>
        <w:rPr>
          <w:rFonts w:asciiTheme="minorEastAsia" w:hAnsiTheme="minorEastAsia" w:eastAsiaTheme="minorEastAsia"/>
          <w:b/>
          <w:color w:val="auto"/>
          <w:highlight w:val="none"/>
        </w:rPr>
      </w:pPr>
      <w:r>
        <w:rPr>
          <w:rFonts w:hint="eastAsia" w:cs="宋体" w:asciiTheme="minorEastAsia" w:hAnsiTheme="minorEastAsia" w:eastAsiaTheme="minorEastAsia"/>
          <w:b/>
          <w:color w:val="auto"/>
          <w:szCs w:val="24"/>
          <w:highlight w:val="none"/>
        </w:rPr>
        <w:t>七、</w:t>
      </w:r>
      <w:r>
        <w:rPr>
          <w:rFonts w:asciiTheme="minorEastAsia" w:hAnsiTheme="minorEastAsia" w:eastAsiaTheme="minorEastAsia"/>
          <w:b/>
          <w:color w:val="auto"/>
          <w:highlight w:val="none"/>
        </w:rPr>
        <w:t>其他资料（供应商认为需要提供的其他文件）</w:t>
      </w:r>
    </w:p>
    <w:p>
      <w:pPr>
        <w:ind w:firstLine="0" w:firstLineChars="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（格式供应商自拟）</w:t>
      </w:r>
    </w:p>
    <w:p>
      <w:pPr>
        <w:ind w:firstLine="0" w:firstLineChars="0"/>
        <w:rPr>
          <w:rFonts w:asciiTheme="minorEastAsia" w:hAnsiTheme="minorEastAsia" w:eastAsiaTheme="minorEastAsia"/>
          <w:b/>
          <w:color w:val="auto"/>
          <w:szCs w:val="24"/>
          <w:highlight w:val="none"/>
        </w:rPr>
      </w:pPr>
    </w:p>
    <w:sectPr>
      <w:headerReference r:id="rId12" w:type="default"/>
      <w:footerReference r:id="rId13" w:type="even"/>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530972"/>
      <w:docPartObj>
        <w:docPartGallery w:val="autotext"/>
      </w:docPartObj>
    </w:sdtPr>
    <w:sdtContent>
      <w:p>
        <w:pPr>
          <w:pStyle w:val="26"/>
          <w:ind w:firstLine="360"/>
        </w:pPr>
        <w:r>
          <w:fldChar w:fldCharType="begin"/>
        </w:r>
        <w:r>
          <w:instrText xml:space="preserve">PAGE   \* MERGEFORMAT</w:instrText>
        </w:r>
        <w:r>
          <w:fldChar w:fldCharType="separate"/>
        </w:r>
        <w:r>
          <w:rPr>
            <w:lang w:val="zh-CN"/>
          </w:rPr>
          <w:t>-</w:t>
        </w:r>
        <w:r>
          <w:t xml:space="preserve"> 4 -</w:t>
        </w:r>
        <w:r>
          <w:fldChar w:fldCharType="end"/>
        </w:r>
      </w:p>
    </w:sdtContent>
  </w:sdt>
  <w:p>
    <w:pPr>
      <w:pStyle w:val="26"/>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end"/>
    </w:r>
  </w:p>
  <w:p>
    <w:pPr>
      <w:pStyle w:val="26"/>
      <w:ind w:right="360" w:firstLine="360"/>
    </w:pPr>
  </w:p>
  <w:p>
    <w:pPr>
      <w:ind w:firstLine="420"/>
    </w:pPr>
  </w:p>
  <w:p>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2A85F"/>
    <w:multiLevelType w:val="singleLevel"/>
    <w:tmpl w:val="9062A85F"/>
    <w:lvl w:ilvl="0" w:tentative="0">
      <w:start w:val="1"/>
      <w:numFmt w:val="chineseCounting"/>
      <w:suff w:val="nothing"/>
      <w:lvlText w:val="%1、"/>
      <w:lvlJc w:val="left"/>
      <w:pPr>
        <w:ind w:left="425" w:leftChars="0" w:firstLine="0" w:firstLineChars="0"/>
      </w:pPr>
      <w:rPr>
        <w:rFonts w:hint="eastAsia"/>
      </w:rPr>
    </w:lvl>
  </w:abstractNum>
  <w:abstractNum w:abstractNumId="1">
    <w:nsid w:val="E45F4F44"/>
    <w:multiLevelType w:val="singleLevel"/>
    <w:tmpl w:val="E45F4F44"/>
    <w:lvl w:ilvl="0" w:tentative="0">
      <w:start w:val="1"/>
      <w:numFmt w:val="chineseCounting"/>
      <w:suff w:val="nothing"/>
      <w:lvlText w:val="%1、"/>
      <w:lvlJc w:val="left"/>
      <w:rPr>
        <w:rFonts w:hint="eastAsia"/>
      </w:rPr>
    </w:lvl>
  </w:abstractNum>
  <w:abstractNum w:abstractNumId="2">
    <w:nsid w:val="EC83565B"/>
    <w:multiLevelType w:val="singleLevel"/>
    <w:tmpl w:val="EC83565B"/>
    <w:lvl w:ilvl="0" w:tentative="0">
      <w:start w:val="1"/>
      <w:numFmt w:val="ideographTraditional"/>
      <w:suff w:val="nothing"/>
      <w:lvlText w:val="%1、"/>
      <w:lvlJc w:val="left"/>
      <w:rPr>
        <w:rFonts w:hint="eastAsia"/>
      </w:rPr>
    </w:lvl>
  </w:abstractNum>
  <w:abstractNum w:abstractNumId="3">
    <w:nsid w:val="FFFFFF89"/>
    <w:multiLevelType w:val="singleLevel"/>
    <w:tmpl w:val="FFFFFF89"/>
    <w:lvl w:ilvl="0" w:tentative="0">
      <w:start w:val="1"/>
      <w:numFmt w:val="bullet"/>
      <w:pStyle w:val="17"/>
      <w:lvlText w:val=""/>
      <w:lvlJc w:val="left"/>
      <w:pPr>
        <w:tabs>
          <w:tab w:val="left" w:pos="360"/>
        </w:tabs>
        <w:ind w:left="360" w:hanging="360" w:hangingChars="200"/>
      </w:pPr>
      <w:rPr>
        <w:rFonts w:hint="default" w:ascii="Wingdings" w:hAnsi="Wingdings"/>
      </w:rPr>
    </w:lvl>
  </w:abstractNum>
  <w:abstractNum w:abstractNumId="4">
    <w:nsid w:val="2E33927F"/>
    <w:multiLevelType w:val="singleLevel"/>
    <w:tmpl w:val="2E33927F"/>
    <w:lvl w:ilvl="0" w:tentative="0">
      <w:start w:val="1"/>
      <w:numFmt w:val="decimal"/>
      <w:lvlText w:val="%1."/>
      <w:lvlJc w:val="left"/>
      <w:pPr>
        <w:tabs>
          <w:tab w:val="left" w:pos="312"/>
        </w:tabs>
      </w:pPr>
      <w:rPr>
        <w:rFonts w:hint="default"/>
        <w:highlight w:val="none"/>
      </w:rPr>
    </w:lvl>
  </w:abstractNum>
  <w:abstractNum w:abstractNumId="5">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8"/>
      <w:lvlText w:val="%1.%2"/>
      <w:lvlJc w:val="left"/>
      <w:pPr>
        <w:tabs>
          <w:tab w:val="left" w:pos="576"/>
        </w:tabs>
        <w:ind w:left="576" w:hanging="576"/>
      </w:pPr>
    </w:lvl>
    <w:lvl w:ilvl="2" w:tentative="0">
      <w:start w:val="1"/>
      <w:numFmt w:val="decimal"/>
      <w:pStyle w:val="10"/>
      <w:lvlText w:val="%1.%2.%3"/>
      <w:lvlJc w:val="left"/>
      <w:pPr>
        <w:tabs>
          <w:tab w:val="left" w:pos="1260"/>
        </w:tabs>
        <w:ind w:left="1260" w:hanging="720"/>
      </w:pPr>
    </w:lvl>
    <w:lvl w:ilvl="3" w:tentative="0">
      <w:start w:val="1"/>
      <w:numFmt w:val="decimal"/>
      <w:pStyle w:val="11"/>
      <w:lvlText w:val="%1.%2.%3.%4"/>
      <w:lvlJc w:val="left"/>
      <w:pPr>
        <w:tabs>
          <w:tab w:val="left" w:pos="864"/>
        </w:tabs>
        <w:ind w:left="864" w:hanging="864"/>
      </w:pPr>
    </w:lvl>
    <w:lvl w:ilvl="4" w:tentative="0">
      <w:start w:val="1"/>
      <w:numFmt w:val="decimal"/>
      <w:pStyle w:val="12"/>
      <w:lvlText w:val="%1.%2.%3.%4.%5"/>
      <w:lvlJc w:val="left"/>
      <w:pPr>
        <w:tabs>
          <w:tab w:val="left" w:pos="1008"/>
        </w:tabs>
        <w:ind w:left="1008" w:hanging="1008"/>
      </w:pPr>
    </w:lvl>
    <w:lvl w:ilvl="5" w:tentative="0">
      <w:start w:val="1"/>
      <w:numFmt w:val="decimal"/>
      <w:pStyle w:val="13"/>
      <w:lvlText w:val="%1.%2.%3.%4.%5.%6"/>
      <w:lvlJc w:val="left"/>
      <w:pPr>
        <w:tabs>
          <w:tab w:val="left" w:pos="1152"/>
        </w:tabs>
        <w:ind w:left="1152" w:hanging="1152"/>
      </w:pPr>
    </w:lvl>
    <w:lvl w:ilvl="6" w:tentative="0">
      <w:start w:val="1"/>
      <w:numFmt w:val="decimal"/>
      <w:pStyle w:val="14"/>
      <w:lvlText w:val="%1.%2.%3.%4.%5.%6.%7"/>
      <w:lvlJc w:val="left"/>
      <w:pPr>
        <w:tabs>
          <w:tab w:val="left" w:pos="1296"/>
        </w:tabs>
        <w:ind w:left="1296" w:hanging="1296"/>
      </w:pPr>
    </w:lvl>
    <w:lvl w:ilvl="7" w:tentative="0">
      <w:start w:val="1"/>
      <w:numFmt w:val="decimal"/>
      <w:pStyle w:val="15"/>
      <w:lvlText w:val="%1.%2.%3.%4.%5.%6.%7.%8"/>
      <w:lvlJc w:val="left"/>
      <w:pPr>
        <w:tabs>
          <w:tab w:val="left" w:pos="1440"/>
        </w:tabs>
        <w:ind w:left="1440" w:hanging="1440"/>
      </w:pPr>
    </w:lvl>
    <w:lvl w:ilvl="8" w:tentative="0">
      <w:start w:val="1"/>
      <w:numFmt w:val="decimal"/>
      <w:pStyle w:val="16"/>
      <w:lvlText w:val="%1.%2.%3.%4.%5.%6.%7.%8.%9"/>
      <w:lvlJc w:val="left"/>
      <w:pPr>
        <w:tabs>
          <w:tab w:val="left" w:pos="1584"/>
        </w:tabs>
        <w:ind w:left="1584" w:hanging="1584"/>
      </w:pPr>
    </w:lvl>
  </w:abstractNum>
  <w:abstractNum w:abstractNumId="6">
    <w:nsid w:val="5E280BC3"/>
    <w:multiLevelType w:val="singleLevel"/>
    <w:tmpl w:val="5E280BC3"/>
    <w:lvl w:ilvl="0" w:tentative="0">
      <w:start w:val="1"/>
      <w:numFmt w:val="decimal"/>
      <w:suff w:val="nothing"/>
      <w:lvlText w:val="%1、"/>
      <w:lvlJc w:val="left"/>
    </w:lvl>
  </w:abstractNum>
  <w:abstractNum w:abstractNumId="7">
    <w:nsid w:val="6C3437DC"/>
    <w:multiLevelType w:val="singleLevel"/>
    <w:tmpl w:val="6C3437DC"/>
    <w:lvl w:ilvl="0" w:tentative="0">
      <w:start w:val="1"/>
      <w:numFmt w:val="decimal"/>
      <w:suff w:val="nothing"/>
      <w:lvlText w:val="%1、"/>
      <w:lvlJc w:val="left"/>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MmI1YzRhMzc3M2Y0N2RmZDRhOTczM2QwMjE3NTkifQ=="/>
  </w:docVars>
  <w:rsids>
    <w:rsidRoot w:val="00B10CEE"/>
    <w:rsid w:val="00004325"/>
    <w:rsid w:val="00005A92"/>
    <w:rsid w:val="00005FFD"/>
    <w:rsid w:val="00010D22"/>
    <w:rsid w:val="00011637"/>
    <w:rsid w:val="00012A1E"/>
    <w:rsid w:val="000177F1"/>
    <w:rsid w:val="000218E6"/>
    <w:rsid w:val="0002385B"/>
    <w:rsid w:val="00024864"/>
    <w:rsid w:val="00024E1A"/>
    <w:rsid w:val="00026127"/>
    <w:rsid w:val="00026DF2"/>
    <w:rsid w:val="00027B5C"/>
    <w:rsid w:val="000320DE"/>
    <w:rsid w:val="000327CA"/>
    <w:rsid w:val="00034449"/>
    <w:rsid w:val="00034816"/>
    <w:rsid w:val="00034D0D"/>
    <w:rsid w:val="0003616F"/>
    <w:rsid w:val="000362B5"/>
    <w:rsid w:val="00037800"/>
    <w:rsid w:val="00050568"/>
    <w:rsid w:val="00053503"/>
    <w:rsid w:val="00054759"/>
    <w:rsid w:val="000553A8"/>
    <w:rsid w:val="00056A5D"/>
    <w:rsid w:val="00061FBF"/>
    <w:rsid w:val="00063AD6"/>
    <w:rsid w:val="00064345"/>
    <w:rsid w:val="00065855"/>
    <w:rsid w:val="000660D9"/>
    <w:rsid w:val="00073B06"/>
    <w:rsid w:val="000742BB"/>
    <w:rsid w:val="00074DEC"/>
    <w:rsid w:val="000765C9"/>
    <w:rsid w:val="00076BD9"/>
    <w:rsid w:val="000825AF"/>
    <w:rsid w:val="000834C2"/>
    <w:rsid w:val="00083D1B"/>
    <w:rsid w:val="00085445"/>
    <w:rsid w:val="0008669C"/>
    <w:rsid w:val="0009057C"/>
    <w:rsid w:val="00091250"/>
    <w:rsid w:val="00092D0E"/>
    <w:rsid w:val="00092DDC"/>
    <w:rsid w:val="00095A23"/>
    <w:rsid w:val="00097C37"/>
    <w:rsid w:val="000A1E5F"/>
    <w:rsid w:val="000A3CC6"/>
    <w:rsid w:val="000A3DBC"/>
    <w:rsid w:val="000A4E01"/>
    <w:rsid w:val="000A670B"/>
    <w:rsid w:val="000A7E5A"/>
    <w:rsid w:val="000B0165"/>
    <w:rsid w:val="000B0E27"/>
    <w:rsid w:val="000B284C"/>
    <w:rsid w:val="000B52FA"/>
    <w:rsid w:val="000B5800"/>
    <w:rsid w:val="000B7CF7"/>
    <w:rsid w:val="000C1959"/>
    <w:rsid w:val="000C1ACE"/>
    <w:rsid w:val="000C21EB"/>
    <w:rsid w:val="000C4715"/>
    <w:rsid w:val="000C5A28"/>
    <w:rsid w:val="000C5B15"/>
    <w:rsid w:val="000C6E53"/>
    <w:rsid w:val="000D1869"/>
    <w:rsid w:val="000D27CF"/>
    <w:rsid w:val="000D2910"/>
    <w:rsid w:val="000D77E1"/>
    <w:rsid w:val="000D7ADD"/>
    <w:rsid w:val="000E161F"/>
    <w:rsid w:val="000E1BA7"/>
    <w:rsid w:val="000E1DCB"/>
    <w:rsid w:val="000E26BD"/>
    <w:rsid w:val="000E41DF"/>
    <w:rsid w:val="000E7396"/>
    <w:rsid w:val="000F0686"/>
    <w:rsid w:val="000F0749"/>
    <w:rsid w:val="000F37ED"/>
    <w:rsid w:val="000F5347"/>
    <w:rsid w:val="000F61A5"/>
    <w:rsid w:val="000F69A9"/>
    <w:rsid w:val="000F77A9"/>
    <w:rsid w:val="001014B4"/>
    <w:rsid w:val="001027A9"/>
    <w:rsid w:val="001038AC"/>
    <w:rsid w:val="001048F7"/>
    <w:rsid w:val="00105A22"/>
    <w:rsid w:val="00107960"/>
    <w:rsid w:val="00107AFB"/>
    <w:rsid w:val="001135E5"/>
    <w:rsid w:val="00117677"/>
    <w:rsid w:val="001178BA"/>
    <w:rsid w:val="00121904"/>
    <w:rsid w:val="00123E08"/>
    <w:rsid w:val="00126225"/>
    <w:rsid w:val="00127D8D"/>
    <w:rsid w:val="00131AB5"/>
    <w:rsid w:val="00133A4D"/>
    <w:rsid w:val="00135C40"/>
    <w:rsid w:val="0013653A"/>
    <w:rsid w:val="0013748A"/>
    <w:rsid w:val="00137ED6"/>
    <w:rsid w:val="00141EFB"/>
    <w:rsid w:val="001444FE"/>
    <w:rsid w:val="00146490"/>
    <w:rsid w:val="00147D7B"/>
    <w:rsid w:val="00153A7E"/>
    <w:rsid w:val="001553FF"/>
    <w:rsid w:val="001561E1"/>
    <w:rsid w:val="0015725A"/>
    <w:rsid w:val="00157C9E"/>
    <w:rsid w:val="001636C6"/>
    <w:rsid w:val="001655DB"/>
    <w:rsid w:val="00165B43"/>
    <w:rsid w:val="001733E1"/>
    <w:rsid w:val="001743F2"/>
    <w:rsid w:val="001749F0"/>
    <w:rsid w:val="00174DC2"/>
    <w:rsid w:val="001770E0"/>
    <w:rsid w:val="00180D22"/>
    <w:rsid w:val="00181584"/>
    <w:rsid w:val="0018521F"/>
    <w:rsid w:val="00185398"/>
    <w:rsid w:val="0018673E"/>
    <w:rsid w:val="001876A9"/>
    <w:rsid w:val="00187A58"/>
    <w:rsid w:val="00187CC4"/>
    <w:rsid w:val="00191EFD"/>
    <w:rsid w:val="00194334"/>
    <w:rsid w:val="00194CEE"/>
    <w:rsid w:val="001964EC"/>
    <w:rsid w:val="001A0A20"/>
    <w:rsid w:val="001A176B"/>
    <w:rsid w:val="001A6E15"/>
    <w:rsid w:val="001B1AD7"/>
    <w:rsid w:val="001B38B1"/>
    <w:rsid w:val="001B5995"/>
    <w:rsid w:val="001B66AF"/>
    <w:rsid w:val="001B6D5D"/>
    <w:rsid w:val="001B797A"/>
    <w:rsid w:val="001C0B50"/>
    <w:rsid w:val="001C0D42"/>
    <w:rsid w:val="001C2598"/>
    <w:rsid w:val="001C3B1B"/>
    <w:rsid w:val="001C3EE4"/>
    <w:rsid w:val="001C462D"/>
    <w:rsid w:val="001C4DE6"/>
    <w:rsid w:val="001C5564"/>
    <w:rsid w:val="001D06A7"/>
    <w:rsid w:val="001D35F7"/>
    <w:rsid w:val="001D52B3"/>
    <w:rsid w:val="001D5BAD"/>
    <w:rsid w:val="001D6CED"/>
    <w:rsid w:val="001E365D"/>
    <w:rsid w:val="001E6AEF"/>
    <w:rsid w:val="001E76D9"/>
    <w:rsid w:val="001F057D"/>
    <w:rsid w:val="001F079B"/>
    <w:rsid w:val="001F0893"/>
    <w:rsid w:val="001F31D2"/>
    <w:rsid w:val="001F67AD"/>
    <w:rsid w:val="00200329"/>
    <w:rsid w:val="00200C64"/>
    <w:rsid w:val="002016AD"/>
    <w:rsid w:val="002027D8"/>
    <w:rsid w:val="00202B0E"/>
    <w:rsid w:val="00206EAC"/>
    <w:rsid w:val="00212BB5"/>
    <w:rsid w:val="00216CD7"/>
    <w:rsid w:val="002237E9"/>
    <w:rsid w:val="00235BEE"/>
    <w:rsid w:val="00236ACA"/>
    <w:rsid w:val="00246DC2"/>
    <w:rsid w:val="002538D8"/>
    <w:rsid w:val="00256684"/>
    <w:rsid w:val="00256E5E"/>
    <w:rsid w:val="002571BC"/>
    <w:rsid w:val="00267442"/>
    <w:rsid w:val="00270F16"/>
    <w:rsid w:val="00271336"/>
    <w:rsid w:val="00271374"/>
    <w:rsid w:val="00285E1D"/>
    <w:rsid w:val="002862C5"/>
    <w:rsid w:val="0028675A"/>
    <w:rsid w:val="00295B83"/>
    <w:rsid w:val="00296CA0"/>
    <w:rsid w:val="002A05AF"/>
    <w:rsid w:val="002A4B4E"/>
    <w:rsid w:val="002A5A29"/>
    <w:rsid w:val="002A6568"/>
    <w:rsid w:val="002B0C31"/>
    <w:rsid w:val="002B43FE"/>
    <w:rsid w:val="002B71FD"/>
    <w:rsid w:val="002C1E54"/>
    <w:rsid w:val="002C2CF6"/>
    <w:rsid w:val="002C2D45"/>
    <w:rsid w:val="002C34B0"/>
    <w:rsid w:val="002C493B"/>
    <w:rsid w:val="002C4DEC"/>
    <w:rsid w:val="002D6DE6"/>
    <w:rsid w:val="002E0D26"/>
    <w:rsid w:val="002E70ED"/>
    <w:rsid w:val="002E77B5"/>
    <w:rsid w:val="002F057F"/>
    <w:rsid w:val="002F22C6"/>
    <w:rsid w:val="002F2C4C"/>
    <w:rsid w:val="002F4450"/>
    <w:rsid w:val="002F51F8"/>
    <w:rsid w:val="002F59A0"/>
    <w:rsid w:val="002F5BC5"/>
    <w:rsid w:val="002F769F"/>
    <w:rsid w:val="00301514"/>
    <w:rsid w:val="00302BC2"/>
    <w:rsid w:val="003036A3"/>
    <w:rsid w:val="00303D45"/>
    <w:rsid w:val="00304CC7"/>
    <w:rsid w:val="00305B75"/>
    <w:rsid w:val="0031435C"/>
    <w:rsid w:val="00322166"/>
    <w:rsid w:val="00325DBB"/>
    <w:rsid w:val="003264F9"/>
    <w:rsid w:val="003325EE"/>
    <w:rsid w:val="003329D9"/>
    <w:rsid w:val="00335B5B"/>
    <w:rsid w:val="003366EB"/>
    <w:rsid w:val="0033742E"/>
    <w:rsid w:val="00343CD2"/>
    <w:rsid w:val="00344872"/>
    <w:rsid w:val="00345330"/>
    <w:rsid w:val="0034601D"/>
    <w:rsid w:val="0034623A"/>
    <w:rsid w:val="00351488"/>
    <w:rsid w:val="00352077"/>
    <w:rsid w:val="00362183"/>
    <w:rsid w:val="0036635B"/>
    <w:rsid w:val="00367552"/>
    <w:rsid w:val="003679F0"/>
    <w:rsid w:val="00370D67"/>
    <w:rsid w:val="00371022"/>
    <w:rsid w:val="00371186"/>
    <w:rsid w:val="003778E0"/>
    <w:rsid w:val="00377E2A"/>
    <w:rsid w:val="003919D2"/>
    <w:rsid w:val="00393676"/>
    <w:rsid w:val="00394240"/>
    <w:rsid w:val="0039753D"/>
    <w:rsid w:val="003A16BC"/>
    <w:rsid w:val="003A29AC"/>
    <w:rsid w:val="003A33A7"/>
    <w:rsid w:val="003A5BC0"/>
    <w:rsid w:val="003A6ED7"/>
    <w:rsid w:val="003A7A9A"/>
    <w:rsid w:val="003B02FD"/>
    <w:rsid w:val="003B2F90"/>
    <w:rsid w:val="003B49AB"/>
    <w:rsid w:val="003B58F5"/>
    <w:rsid w:val="003B64C2"/>
    <w:rsid w:val="003B6DA9"/>
    <w:rsid w:val="003B7BF3"/>
    <w:rsid w:val="003C247B"/>
    <w:rsid w:val="003C3D98"/>
    <w:rsid w:val="003C4D79"/>
    <w:rsid w:val="003C5D3E"/>
    <w:rsid w:val="003C5FD5"/>
    <w:rsid w:val="003C6C22"/>
    <w:rsid w:val="003D0CF1"/>
    <w:rsid w:val="003D133C"/>
    <w:rsid w:val="003D3CF6"/>
    <w:rsid w:val="003D5227"/>
    <w:rsid w:val="003D6B22"/>
    <w:rsid w:val="003E2520"/>
    <w:rsid w:val="003F12BA"/>
    <w:rsid w:val="003F4908"/>
    <w:rsid w:val="003F50DE"/>
    <w:rsid w:val="00402CEB"/>
    <w:rsid w:val="00403261"/>
    <w:rsid w:val="0040461D"/>
    <w:rsid w:val="00405A97"/>
    <w:rsid w:val="004121CD"/>
    <w:rsid w:val="004247B5"/>
    <w:rsid w:val="00425836"/>
    <w:rsid w:val="00425E19"/>
    <w:rsid w:val="00427193"/>
    <w:rsid w:val="00433066"/>
    <w:rsid w:val="00437913"/>
    <w:rsid w:val="004464B0"/>
    <w:rsid w:val="004469A8"/>
    <w:rsid w:val="004475A2"/>
    <w:rsid w:val="004525C7"/>
    <w:rsid w:val="00453EAB"/>
    <w:rsid w:val="00454CC8"/>
    <w:rsid w:val="00455626"/>
    <w:rsid w:val="004601AA"/>
    <w:rsid w:val="00461AA3"/>
    <w:rsid w:val="004623E1"/>
    <w:rsid w:val="00467A55"/>
    <w:rsid w:val="004743D7"/>
    <w:rsid w:val="00474A42"/>
    <w:rsid w:val="00477AA7"/>
    <w:rsid w:val="004805C5"/>
    <w:rsid w:val="004819D2"/>
    <w:rsid w:val="00482074"/>
    <w:rsid w:val="004830DA"/>
    <w:rsid w:val="004832D0"/>
    <w:rsid w:val="004845E2"/>
    <w:rsid w:val="00484CEC"/>
    <w:rsid w:val="00487788"/>
    <w:rsid w:val="00487B68"/>
    <w:rsid w:val="00490404"/>
    <w:rsid w:val="00491219"/>
    <w:rsid w:val="00492E32"/>
    <w:rsid w:val="00493214"/>
    <w:rsid w:val="004A4B98"/>
    <w:rsid w:val="004A4C07"/>
    <w:rsid w:val="004A629A"/>
    <w:rsid w:val="004B1581"/>
    <w:rsid w:val="004B30C5"/>
    <w:rsid w:val="004B569C"/>
    <w:rsid w:val="004B6F6A"/>
    <w:rsid w:val="004C0D7D"/>
    <w:rsid w:val="004C4C24"/>
    <w:rsid w:val="004D034F"/>
    <w:rsid w:val="004E01E8"/>
    <w:rsid w:val="004E0A81"/>
    <w:rsid w:val="004E0CD3"/>
    <w:rsid w:val="004E2689"/>
    <w:rsid w:val="004E2C45"/>
    <w:rsid w:val="004E7F23"/>
    <w:rsid w:val="004F12D5"/>
    <w:rsid w:val="004F327E"/>
    <w:rsid w:val="004F5F6D"/>
    <w:rsid w:val="004F6151"/>
    <w:rsid w:val="00501C38"/>
    <w:rsid w:val="0050232A"/>
    <w:rsid w:val="00503525"/>
    <w:rsid w:val="00504ADA"/>
    <w:rsid w:val="00506857"/>
    <w:rsid w:val="0051047A"/>
    <w:rsid w:val="0051722F"/>
    <w:rsid w:val="00517C08"/>
    <w:rsid w:val="005202E6"/>
    <w:rsid w:val="00523A2D"/>
    <w:rsid w:val="00526A42"/>
    <w:rsid w:val="00530FC9"/>
    <w:rsid w:val="0053400B"/>
    <w:rsid w:val="00534CF9"/>
    <w:rsid w:val="00535085"/>
    <w:rsid w:val="00535E51"/>
    <w:rsid w:val="00536D79"/>
    <w:rsid w:val="00541193"/>
    <w:rsid w:val="00544163"/>
    <w:rsid w:val="005466BB"/>
    <w:rsid w:val="005467A8"/>
    <w:rsid w:val="00546F17"/>
    <w:rsid w:val="005501F0"/>
    <w:rsid w:val="005517EC"/>
    <w:rsid w:val="005530AA"/>
    <w:rsid w:val="00553314"/>
    <w:rsid w:val="00553914"/>
    <w:rsid w:val="00555326"/>
    <w:rsid w:val="005565C7"/>
    <w:rsid w:val="005569C8"/>
    <w:rsid w:val="00557811"/>
    <w:rsid w:val="00560C50"/>
    <w:rsid w:val="00560C8D"/>
    <w:rsid w:val="00561217"/>
    <w:rsid w:val="00561D0C"/>
    <w:rsid w:val="00563B1B"/>
    <w:rsid w:val="00565346"/>
    <w:rsid w:val="00565F8B"/>
    <w:rsid w:val="005673FB"/>
    <w:rsid w:val="00573313"/>
    <w:rsid w:val="00576444"/>
    <w:rsid w:val="005777EA"/>
    <w:rsid w:val="0058107E"/>
    <w:rsid w:val="005834C9"/>
    <w:rsid w:val="00584727"/>
    <w:rsid w:val="00584973"/>
    <w:rsid w:val="00584BF5"/>
    <w:rsid w:val="005858BE"/>
    <w:rsid w:val="0058596B"/>
    <w:rsid w:val="005879FB"/>
    <w:rsid w:val="005900BC"/>
    <w:rsid w:val="00590C43"/>
    <w:rsid w:val="005914D6"/>
    <w:rsid w:val="00594F3B"/>
    <w:rsid w:val="0059596F"/>
    <w:rsid w:val="00597531"/>
    <w:rsid w:val="005A1D9A"/>
    <w:rsid w:val="005A237B"/>
    <w:rsid w:val="005A4BEB"/>
    <w:rsid w:val="005B2A51"/>
    <w:rsid w:val="005B5EBA"/>
    <w:rsid w:val="005C3863"/>
    <w:rsid w:val="005C5EEA"/>
    <w:rsid w:val="005D0A3B"/>
    <w:rsid w:val="005D18E4"/>
    <w:rsid w:val="005D4519"/>
    <w:rsid w:val="005D4689"/>
    <w:rsid w:val="005D4928"/>
    <w:rsid w:val="005D5D56"/>
    <w:rsid w:val="005D6296"/>
    <w:rsid w:val="005D7A94"/>
    <w:rsid w:val="005E033E"/>
    <w:rsid w:val="005E4F2A"/>
    <w:rsid w:val="005E5E86"/>
    <w:rsid w:val="005E66E3"/>
    <w:rsid w:val="005E6BAE"/>
    <w:rsid w:val="005F5085"/>
    <w:rsid w:val="005F7153"/>
    <w:rsid w:val="0060302F"/>
    <w:rsid w:val="00606A08"/>
    <w:rsid w:val="006124B6"/>
    <w:rsid w:val="006144F6"/>
    <w:rsid w:val="006157DD"/>
    <w:rsid w:val="006161F8"/>
    <w:rsid w:val="00617B2D"/>
    <w:rsid w:val="00621C52"/>
    <w:rsid w:val="00622D67"/>
    <w:rsid w:val="006230E8"/>
    <w:rsid w:val="00625ADB"/>
    <w:rsid w:val="0062601F"/>
    <w:rsid w:val="00631884"/>
    <w:rsid w:val="00631CE6"/>
    <w:rsid w:val="00634F05"/>
    <w:rsid w:val="00635655"/>
    <w:rsid w:val="00635685"/>
    <w:rsid w:val="00636576"/>
    <w:rsid w:val="00641031"/>
    <w:rsid w:val="00641CF1"/>
    <w:rsid w:val="0064457B"/>
    <w:rsid w:val="00646166"/>
    <w:rsid w:val="0064617F"/>
    <w:rsid w:val="00646836"/>
    <w:rsid w:val="00646AFB"/>
    <w:rsid w:val="00647005"/>
    <w:rsid w:val="00655D3C"/>
    <w:rsid w:val="006562D4"/>
    <w:rsid w:val="00660DE7"/>
    <w:rsid w:val="00662521"/>
    <w:rsid w:val="0066419B"/>
    <w:rsid w:val="0066645A"/>
    <w:rsid w:val="006665AD"/>
    <w:rsid w:val="0066685A"/>
    <w:rsid w:val="00666B7F"/>
    <w:rsid w:val="00666BBB"/>
    <w:rsid w:val="00667193"/>
    <w:rsid w:val="00667CFF"/>
    <w:rsid w:val="0067140B"/>
    <w:rsid w:val="00671E54"/>
    <w:rsid w:val="0067284E"/>
    <w:rsid w:val="00675154"/>
    <w:rsid w:val="00675420"/>
    <w:rsid w:val="006761B9"/>
    <w:rsid w:val="00676499"/>
    <w:rsid w:val="0067700A"/>
    <w:rsid w:val="00681D14"/>
    <w:rsid w:val="006914BB"/>
    <w:rsid w:val="00691AF9"/>
    <w:rsid w:val="00691C1A"/>
    <w:rsid w:val="00693C4E"/>
    <w:rsid w:val="00693CAC"/>
    <w:rsid w:val="00694469"/>
    <w:rsid w:val="006950A7"/>
    <w:rsid w:val="00695E1A"/>
    <w:rsid w:val="006965ED"/>
    <w:rsid w:val="006975A7"/>
    <w:rsid w:val="006A1281"/>
    <w:rsid w:val="006A2C7A"/>
    <w:rsid w:val="006A3897"/>
    <w:rsid w:val="006A573C"/>
    <w:rsid w:val="006B2C16"/>
    <w:rsid w:val="006B3255"/>
    <w:rsid w:val="006C24F6"/>
    <w:rsid w:val="006C27C2"/>
    <w:rsid w:val="006C4F46"/>
    <w:rsid w:val="006D1686"/>
    <w:rsid w:val="006D3F78"/>
    <w:rsid w:val="006D4439"/>
    <w:rsid w:val="006D679A"/>
    <w:rsid w:val="006D699F"/>
    <w:rsid w:val="006D7C70"/>
    <w:rsid w:val="006E037A"/>
    <w:rsid w:val="006E0B88"/>
    <w:rsid w:val="006E128D"/>
    <w:rsid w:val="006E44BA"/>
    <w:rsid w:val="006E4A9B"/>
    <w:rsid w:val="006E4AD9"/>
    <w:rsid w:val="006E692B"/>
    <w:rsid w:val="006E772B"/>
    <w:rsid w:val="006F4B6E"/>
    <w:rsid w:val="006F7242"/>
    <w:rsid w:val="006F741D"/>
    <w:rsid w:val="00701A42"/>
    <w:rsid w:val="007122DA"/>
    <w:rsid w:val="00713F08"/>
    <w:rsid w:val="00715857"/>
    <w:rsid w:val="0071611D"/>
    <w:rsid w:val="007161C0"/>
    <w:rsid w:val="00723184"/>
    <w:rsid w:val="00727C61"/>
    <w:rsid w:val="00733253"/>
    <w:rsid w:val="00734792"/>
    <w:rsid w:val="00736208"/>
    <w:rsid w:val="00740C63"/>
    <w:rsid w:val="00740F07"/>
    <w:rsid w:val="00741CFF"/>
    <w:rsid w:val="007435EB"/>
    <w:rsid w:val="00743C97"/>
    <w:rsid w:val="00744746"/>
    <w:rsid w:val="00744ED8"/>
    <w:rsid w:val="0074580C"/>
    <w:rsid w:val="00747EDC"/>
    <w:rsid w:val="00751368"/>
    <w:rsid w:val="00751D76"/>
    <w:rsid w:val="00753CD3"/>
    <w:rsid w:val="00754E0A"/>
    <w:rsid w:val="007571B9"/>
    <w:rsid w:val="0075790A"/>
    <w:rsid w:val="007609FA"/>
    <w:rsid w:val="00762877"/>
    <w:rsid w:val="00766B73"/>
    <w:rsid w:val="007713B2"/>
    <w:rsid w:val="0077384A"/>
    <w:rsid w:val="00773C40"/>
    <w:rsid w:val="0077530C"/>
    <w:rsid w:val="00776770"/>
    <w:rsid w:val="007808E6"/>
    <w:rsid w:val="00780E01"/>
    <w:rsid w:val="0078255B"/>
    <w:rsid w:val="00784E0E"/>
    <w:rsid w:val="00785560"/>
    <w:rsid w:val="00786F69"/>
    <w:rsid w:val="0079176F"/>
    <w:rsid w:val="00791CAC"/>
    <w:rsid w:val="00792963"/>
    <w:rsid w:val="00794BAD"/>
    <w:rsid w:val="00796CC6"/>
    <w:rsid w:val="007A0364"/>
    <w:rsid w:val="007A2572"/>
    <w:rsid w:val="007A3D70"/>
    <w:rsid w:val="007A4389"/>
    <w:rsid w:val="007A4516"/>
    <w:rsid w:val="007B40B3"/>
    <w:rsid w:val="007B4DF7"/>
    <w:rsid w:val="007B7084"/>
    <w:rsid w:val="007C0B2D"/>
    <w:rsid w:val="007C4979"/>
    <w:rsid w:val="007C5316"/>
    <w:rsid w:val="007C678F"/>
    <w:rsid w:val="007C67FD"/>
    <w:rsid w:val="007D1113"/>
    <w:rsid w:val="007D16A5"/>
    <w:rsid w:val="007D18AF"/>
    <w:rsid w:val="007D3E42"/>
    <w:rsid w:val="007D5C9D"/>
    <w:rsid w:val="007D63A1"/>
    <w:rsid w:val="007D7E94"/>
    <w:rsid w:val="007E0E08"/>
    <w:rsid w:val="007E0FB0"/>
    <w:rsid w:val="007E173B"/>
    <w:rsid w:val="007E2328"/>
    <w:rsid w:val="007E32C9"/>
    <w:rsid w:val="007F3945"/>
    <w:rsid w:val="007F5F9E"/>
    <w:rsid w:val="007F6809"/>
    <w:rsid w:val="007F6E0C"/>
    <w:rsid w:val="0080058B"/>
    <w:rsid w:val="00801764"/>
    <w:rsid w:val="008053A6"/>
    <w:rsid w:val="0080540F"/>
    <w:rsid w:val="00811F64"/>
    <w:rsid w:val="00812748"/>
    <w:rsid w:val="008179D1"/>
    <w:rsid w:val="00824951"/>
    <w:rsid w:val="008253F7"/>
    <w:rsid w:val="00826A4C"/>
    <w:rsid w:val="00832F19"/>
    <w:rsid w:val="008338A4"/>
    <w:rsid w:val="00833F36"/>
    <w:rsid w:val="00834F52"/>
    <w:rsid w:val="00837418"/>
    <w:rsid w:val="00837488"/>
    <w:rsid w:val="008413CC"/>
    <w:rsid w:val="008433AB"/>
    <w:rsid w:val="008433C2"/>
    <w:rsid w:val="008467E6"/>
    <w:rsid w:val="0085226D"/>
    <w:rsid w:val="00854B87"/>
    <w:rsid w:val="00855BD7"/>
    <w:rsid w:val="00865A37"/>
    <w:rsid w:val="00865C31"/>
    <w:rsid w:val="00872177"/>
    <w:rsid w:val="00872710"/>
    <w:rsid w:val="00872C3F"/>
    <w:rsid w:val="008733B0"/>
    <w:rsid w:val="00873F91"/>
    <w:rsid w:val="00876C01"/>
    <w:rsid w:val="00877D99"/>
    <w:rsid w:val="0088104E"/>
    <w:rsid w:val="00883EE4"/>
    <w:rsid w:val="00887030"/>
    <w:rsid w:val="0088781A"/>
    <w:rsid w:val="0089007C"/>
    <w:rsid w:val="00892B2A"/>
    <w:rsid w:val="00893883"/>
    <w:rsid w:val="00894F33"/>
    <w:rsid w:val="00896532"/>
    <w:rsid w:val="00897533"/>
    <w:rsid w:val="008A67AE"/>
    <w:rsid w:val="008A7F29"/>
    <w:rsid w:val="008B22A0"/>
    <w:rsid w:val="008B2D5E"/>
    <w:rsid w:val="008B36CC"/>
    <w:rsid w:val="008B403B"/>
    <w:rsid w:val="008B41A6"/>
    <w:rsid w:val="008B6F8A"/>
    <w:rsid w:val="008B7982"/>
    <w:rsid w:val="008C07DA"/>
    <w:rsid w:val="008C6D19"/>
    <w:rsid w:val="008C6F5C"/>
    <w:rsid w:val="008C78A9"/>
    <w:rsid w:val="008C7EDC"/>
    <w:rsid w:val="008D1A8C"/>
    <w:rsid w:val="008D310D"/>
    <w:rsid w:val="008D3859"/>
    <w:rsid w:val="008D62BC"/>
    <w:rsid w:val="008E3627"/>
    <w:rsid w:val="008E4677"/>
    <w:rsid w:val="008F2E73"/>
    <w:rsid w:val="008F5276"/>
    <w:rsid w:val="008F57E8"/>
    <w:rsid w:val="008F6189"/>
    <w:rsid w:val="008F6E38"/>
    <w:rsid w:val="008F6EF1"/>
    <w:rsid w:val="008F7D00"/>
    <w:rsid w:val="009032CE"/>
    <w:rsid w:val="00905C46"/>
    <w:rsid w:val="00907755"/>
    <w:rsid w:val="009077DA"/>
    <w:rsid w:val="00907EA1"/>
    <w:rsid w:val="00912A90"/>
    <w:rsid w:val="00921D6F"/>
    <w:rsid w:val="009224B9"/>
    <w:rsid w:val="00925A4E"/>
    <w:rsid w:val="00925CAD"/>
    <w:rsid w:val="0093508D"/>
    <w:rsid w:val="009362D0"/>
    <w:rsid w:val="00936D8E"/>
    <w:rsid w:val="00942226"/>
    <w:rsid w:val="00942936"/>
    <w:rsid w:val="00943EAE"/>
    <w:rsid w:val="00945509"/>
    <w:rsid w:val="00945F7B"/>
    <w:rsid w:val="00950E14"/>
    <w:rsid w:val="00953163"/>
    <w:rsid w:val="00954832"/>
    <w:rsid w:val="009571E3"/>
    <w:rsid w:val="00957CF9"/>
    <w:rsid w:val="0096021A"/>
    <w:rsid w:val="009618A2"/>
    <w:rsid w:val="00962F07"/>
    <w:rsid w:val="00972A7E"/>
    <w:rsid w:val="00974044"/>
    <w:rsid w:val="00974F1A"/>
    <w:rsid w:val="009774B8"/>
    <w:rsid w:val="00982221"/>
    <w:rsid w:val="009828B8"/>
    <w:rsid w:val="00982B48"/>
    <w:rsid w:val="00984E56"/>
    <w:rsid w:val="00984F12"/>
    <w:rsid w:val="0099105A"/>
    <w:rsid w:val="00993345"/>
    <w:rsid w:val="009946F7"/>
    <w:rsid w:val="0099486E"/>
    <w:rsid w:val="009979B0"/>
    <w:rsid w:val="009A0A20"/>
    <w:rsid w:val="009A4304"/>
    <w:rsid w:val="009A4700"/>
    <w:rsid w:val="009A6BBD"/>
    <w:rsid w:val="009B0A7F"/>
    <w:rsid w:val="009B0ED7"/>
    <w:rsid w:val="009B1CFC"/>
    <w:rsid w:val="009B2398"/>
    <w:rsid w:val="009B434E"/>
    <w:rsid w:val="009C0C5D"/>
    <w:rsid w:val="009C3A55"/>
    <w:rsid w:val="009C421D"/>
    <w:rsid w:val="009C5142"/>
    <w:rsid w:val="009C5A51"/>
    <w:rsid w:val="009D3881"/>
    <w:rsid w:val="009D4801"/>
    <w:rsid w:val="009D52C9"/>
    <w:rsid w:val="009D7C8B"/>
    <w:rsid w:val="009E2048"/>
    <w:rsid w:val="009E27BB"/>
    <w:rsid w:val="009F534E"/>
    <w:rsid w:val="009F57DF"/>
    <w:rsid w:val="009F7AC1"/>
    <w:rsid w:val="00A00ADC"/>
    <w:rsid w:val="00A01055"/>
    <w:rsid w:val="00A0152C"/>
    <w:rsid w:val="00A016C8"/>
    <w:rsid w:val="00A01E80"/>
    <w:rsid w:val="00A04802"/>
    <w:rsid w:val="00A04C12"/>
    <w:rsid w:val="00A04F64"/>
    <w:rsid w:val="00A064F2"/>
    <w:rsid w:val="00A06EEA"/>
    <w:rsid w:val="00A07EEF"/>
    <w:rsid w:val="00A15180"/>
    <w:rsid w:val="00A15CA0"/>
    <w:rsid w:val="00A21260"/>
    <w:rsid w:val="00A221B2"/>
    <w:rsid w:val="00A2559A"/>
    <w:rsid w:val="00A25A39"/>
    <w:rsid w:val="00A270CB"/>
    <w:rsid w:val="00A3097F"/>
    <w:rsid w:val="00A33292"/>
    <w:rsid w:val="00A3361A"/>
    <w:rsid w:val="00A34D0D"/>
    <w:rsid w:val="00A4156D"/>
    <w:rsid w:val="00A4779D"/>
    <w:rsid w:val="00A50381"/>
    <w:rsid w:val="00A51053"/>
    <w:rsid w:val="00A56502"/>
    <w:rsid w:val="00A57452"/>
    <w:rsid w:val="00A576E7"/>
    <w:rsid w:val="00A57895"/>
    <w:rsid w:val="00A61307"/>
    <w:rsid w:val="00A614A5"/>
    <w:rsid w:val="00A616B7"/>
    <w:rsid w:val="00A61D6E"/>
    <w:rsid w:val="00A61EDA"/>
    <w:rsid w:val="00A61FD6"/>
    <w:rsid w:val="00A628E3"/>
    <w:rsid w:val="00A63E12"/>
    <w:rsid w:val="00A6639B"/>
    <w:rsid w:val="00A67354"/>
    <w:rsid w:val="00A70F9E"/>
    <w:rsid w:val="00A71C99"/>
    <w:rsid w:val="00A754B7"/>
    <w:rsid w:val="00A758E5"/>
    <w:rsid w:val="00A7747A"/>
    <w:rsid w:val="00A77A1C"/>
    <w:rsid w:val="00A77AF8"/>
    <w:rsid w:val="00A81A1D"/>
    <w:rsid w:val="00A81BE9"/>
    <w:rsid w:val="00A905EA"/>
    <w:rsid w:val="00A907D4"/>
    <w:rsid w:val="00A90EA1"/>
    <w:rsid w:val="00A90EBA"/>
    <w:rsid w:val="00A95B0A"/>
    <w:rsid w:val="00A9778D"/>
    <w:rsid w:val="00AA6077"/>
    <w:rsid w:val="00AA6A9B"/>
    <w:rsid w:val="00AA7676"/>
    <w:rsid w:val="00AA7C84"/>
    <w:rsid w:val="00AB1478"/>
    <w:rsid w:val="00AB19CE"/>
    <w:rsid w:val="00AB3639"/>
    <w:rsid w:val="00AB44F6"/>
    <w:rsid w:val="00AB4B88"/>
    <w:rsid w:val="00AB5E46"/>
    <w:rsid w:val="00AB6A71"/>
    <w:rsid w:val="00AC00EE"/>
    <w:rsid w:val="00AC0B20"/>
    <w:rsid w:val="00AC125B"/>
    <w:rsid w:val="00AC2841"/>
    <w:rsid w:val="00AC342E"/>
    <w:rsid w:val="00AC34BC"/>
    <w:rsid w:val="00AC691A"/>
    <w:rsid w:val="00AC7166"/>
    <w:rsid w:val="00AC765E"/>
    <w:rsid w:val="00AD14FA"/>
    <w:rsid w:val="00AD27A6"/>
    <w:rsid w:val="00AD28ED"/>
    <w:rsid w:val="00AD38BD"/>
    <w:rsid w:val="00AE072F"/>
    <w:rsid w:val="00AE48AA"/>
    <w:rsid w:val="00AE69B6"/>
    <w:rsid w:val="00AE71D7"/>
    <w:rsid w:val="00AE7877"/>
    <w:rsid w:val="00AF13CC"/>
    <w:rsid w:val="00AF1588"/>
    <w:rsid w:val="00AF5576"/>
    <w:rsid w:val="00AF6C96"/>
    <w:rsid w:val="00B04E7B"/>
    <w:rsid w:val="00B052E7"/>
    <w:rsid w:val="00B0636C"/>
    <w:rsid w:val="00B07E03"/>
    <w:rsid w:val="00B10CEE"/>
    <w:rsid w:val="00B13715"/>
    <w:rsid w:val="00B14395"/>
    <w:rsid w:val="00B14B63"/>
    <w:rsid w:val="00B15450"/>
    <w:rsid w:val="00B15EE2"/>
    <w:rsid w:val="00B177D6"/>
    <w:rsid w:val="00B17B53"/>
    <w:rsid w:val="00B21140"/>
    <w:rsid w:val="00B22C0F"/>
    <w:rsid w:val="00B247EE"/>
    <w:rsid w:val="00B255E9"/>
    <w:rsid w:val="00B25706"/>
    <w:rsid w:val="00B27BC8"/>
    <w:rsid w:val="00B30F9E"/>
    <w:rsid w:val="00B31558"/>
    <w:rsid w:val="00B363A8"/>
    <w:rsid w:val="00B37580"/>
    <w:rsid w:val="00B42733"/>
    <w:rsid w:val="00B427DB"/>
    <w:rsid w:val="00B442BA"/>
    <w:rsid w:val="00B44549"/>
    <w:rsid w:val="00B4490C"/>
    <w:rsid w:val="00B46B23"/>
    <w:rsid w:val="00B47F82"/>
    <w:rsid w:val="00B5126F"/>
    <w:rsid w:val="00B545B9"/>
    <w:rsid w:val="00B56A08"/>
    <w:rsid w:val="00B6142F"/>
    <w:rsid w:val="00B631DD"/>
    <w:rsid w:val="00B637E4"/>
    <w:rsid w:val="00B64DE7"/>
    <w:rsid w:val="00B6517E"/>
    <w:rsid w:val="00B658A1"/>
    <w:rsid w:val="00B7083E"/>
    <w:rsid w:val="00B71888"/>
    <w:rsid w:val="00B7373D"/>
    <w:rsid w:val="00B764A0"/>
    <w:rsid w:val="00B766F2"/>
    <w:rsid w:val="00B803FB"/>
    <w:rsid w:val="00B8188F"/>
    <w:rsid w:val="00B83B5F"/>
    <w:rsid w:val="00B92D90"/>
    <w:rsid w:val="00BA092B"/>
    <w:rsid w:val="00BA1C42"/>
    <w:rsid w:val="00BA2D2E"/>
    <w:rsid w:val="00BA4024"/>
    <w:rsid w:val="00BA61A1"/>
    <w:rsid w:val="00BA6A28"/>
    <w:rsid w:val="00BB0864"/>
    <w:rsid w:val="00BB09DF"/>
    <w:rsid w:val="00BB15BF"/>
    <w:rsid w:val="00BB2F8C"/>
    <w:rsid w:val="00BB3913"/>
    <w:rsid w:val="00BB67C0"/>
    <w:rsid w:val="00BC00D8"/>
    <w:rsid w:val="00BC7360"/>
    <w:rsid w:val="00BD014E"/>
    <w:rsid w:val="00BD51C6"/>
    <w:rsid w:val="00BD7781"/>
    <w:rsid w:val="00BE063B"/>
    <w:rsid w:val="00BE09DD"/>
    <w:rsid w:val="00BE381A"/>
    <w:rsid w:val="00BE6BA4"/>
    <w:rsid w:val="00BE6DC4"/>
    <w:rsid w:val="00BF02C8"/>
    <w:rsid w:val="00BF2FA9"/>
    <w:rsid w:val="00BF7460"/>
    <w:rsid w:val="00C00BAF"/>
    <w:rsid w:val="00C015DB"/>
    <w:rsid w:val="00C016BF"/>
    <w:rsid w:val="00C11B2E"/>
    <w:rsid w:val="00C13CFA"/>
    <w:rsid w:val="00C237D5"/>
    <w:rsid w:val="00C27B89"/>
    <w:rsid w:val="00C307BF"/>
    <w:rsid w:val="00C34E1A"/>
    <w:rsid w:val="00C35053"/>
    <w:rsid w:val="00C40850"/>
    <w:rsid w:val="00C42C41"/>
    <w:rsid w:val="00C43BF0"/>
    <w:rsid w:val="00C440DA"/>
    <w:rsid w:val="00C45150"/>
    <w:rsid w:val="00C47A25"/>
    <w:rsid w:val="00C47BFB"/>
    <w:rsid w:val="00C51A20"/>
    <w:rsid w:val="00C53AFF"/>
    <w:rsid w:val="00C543EC"/>
    <w:rsid w:val="00C5526E"/>
    <w:rsid w:val="00C60A53"/>
    <w:rsid w:val="00C620A2"/>
    <w:rsid w:val="00C6342A"/>
    <w:rsid w:val="00C635C3"/>
    <w:rsid w:val="00C63F6C"/>
    <w:rsid w:val="00C66231"/>
    <w:rsid w:val="00C67871"/>
    <w:rsid w:val="00C717C6"/>
    <w:rsid w:val="00C730EF"/>
    <w:rsid w:val="00C7589B"/>
    <w:rsid w:val="00C8075B"/>
    <w:rsid w:val="00C81176"/>
    <w:rsid w:val="00C8281E"/>
    <w:rsid w:val="00C87726"/>
    <w:rsid w:val="00C904A3"/>
    <w:rsid w:val="00C93A67"/>
    <w:rsid w:val="00C94199"/>
    <w:rsid w:val="00C95955"/>
    <w:rsid w:val="00C959A4"/>
    <w:rsid w:val="00CA1489"/>
    <w:rsid w:val="00CA1BBA"/>
    <w:rsid w:val="00CA48EF"/>
    <w:rsid w:val="00CA5F94"/>
    <w:rsid w:val="00CB458D"/>
    <w:rsid w:val="00CB4A5E"/>
    <w:rsid w:val="00CB586E"/>
    <w:rsid w:val="00CB6B2A"/>
    <w:rsid w:val="00CB72CB"/>
    <w:rsid w:val="00CC0ADB"/>
    <w:rsid w:val="00CC2AC2"/>
    <w:rsid w:val="00CC443E"/>
    <w:rsid w:val="00CC6935"/>
    <w:rsid w:val="00CC6B65"/>
    <w:rsid w:val="00CD109A"/>
    <w:rsid w:val="00CD1FC4"/>
    <w:rsid w:val="00CD2E55"/>
    <w:rsid w:val="00CE07C6"/>
    <w:rsid w:val="00CE47A6"/>
    <w:rsid w:val="00CE6AA9"/>
    <w:rsid w:val="00CF0262"/>
    <w:rsid w:val="00CF0290"/>
    <w:rsid w:val="00CF0641"/>
    <w:rsid w:val="00CF0C99"/>
    <w:rsid w:val="00CF40D6"/>
    <w:rsid w:val="00CF7D64"/>
    <w:rsid w:val="00D00893"/>
    <w:rsid w:val="00D01F9A"/>
    <w:rsid w:val="00D02EBB"/>
    <w:rsid w:val="00D12539"/>
    <w:rsid w:val="00D12AC1"/>
    <w:rsid w:val="00D1661D"/>
    <w:rsid w:val="00D232A3"/>
    <w:rsid w:val="00D235CB"/>
    <w:rsid w:val="00D26027"/>
    <w:rsid w:val="00D30467"/>
    <w:rsid w:val="00D31F3B"/>
    <w:rsid w:val="00D32889"/>
    <w:rsid w:val="00D355BF"/>
    <w:rsid w:val="00D35CE6"/>
    <w:rsid w:val="00D37451"/>
    <w:rsid w:val="00D404AE"/>
    <w:rsid w:val="00D43DA9"/>
    <w:rsid w:val="00D47FEC"/>
    <w:rsid w:val="00D509A3"/>
    <w:rsid w:val="00D50FEF"/>
    <w:rsid w:val="00D52D55"/>
    <w:rsid w:val="00D53242"/>
    <w:rsid w:val="00D53B2D"/>
    <w:rsid w:val="00D54343"/>
    <w:rsid w:val="00D545BE"/>
    <w:rsid w:val="00D56690"/>
    <w:rsid w:val="00D66E02"/>
    <w:rsid w:val="00D6755B"/>
    <w:rsid w:val="00D71C8E"/>
    <w:rsid w:val="00D74E7D"/>
    <w:rsid w:val="00D759DE"/>
    <w:rsid w:val="00D77FC8"/>
    <w:rsid w:val="00D806D6"/>
    <w:rsid w:val="00D8709D"/>
    <w:rsid w:val="00D873C9"/>
    <w:rsid w:val="00D90DD4"/>
    <w:rsid w:val="00D93550"/>
    <w:rsid w:val="00D93C3A"/>
    <w:rsid w:val="00D94F41"/>
    <w:rsid w:val="00D9517C"/>
    <w:rsid w:val="00D97269"/>
    <w:rsid w:val="00D97E02"/>
    <w:rsid w:val="00DA2767"/>
    <w:rsid w:val="00DA2A1A"/>
    <w:rsid w:val="00DA4403"/>
    <w:rsid w:val="00DA46D0"/>
    <w:rsid w:val="00DA4DD8"/>
    <w:rsid w:val="00DA5C39"/>
    <w:rsid w:val="00DA6977"/>
    <w:rsid w:val="00DA7021"/>
    <w:rsid w:val="00DB20F9"/>
    <w:rsid w:val="00DB2E65"/>
    <w:rsid w:val="00DB47B3"/>
    <w:rsid w:val="00DB5A2F"/>
    <w:rsid w:val="00DB6C49"/>
    <w:rsid w:val="00DB7752"/>
    <w:rsid w:val="00DC0115"/>
    <w:rsid w:val="00DC05A5"/>
    <w:rsid w:val="00DC12F4"/>
    <w:rsid w:val="00DC2FAA"/>
    <w:rsid w:val="00DC30CD"/>
    <w:rsid w:val="00DC3A29"/>
    <w:rsid w:val="00DC3FB4"/>
    <w:rsid w:val="00DD0E9B"/>
    <w:rsid w:val="00DD1987"/>
    <w:rsid w:val="00DD2387"/>
    <w:rsid w:val="00DD396C"/>
    <w:rsid w:val="00DD68A6"/>
    <w:rsid w:val="00DE01BE"/>
    <w:rsid w:val="00DE287A"/>
    <w:rsid w:val="00DE5BF7"/>
    <w:rsid w:val="00DF0BBB"/>
    <w:rsid w:val="00DF0F26"/>
    <w:rsid w:val="00DF1EF8"/>
    <w:rsid w:val="00DF3928"/>
    <w:rsid w:val="00DF725C"/>
    <w:rsid w:val="00DF7C2F"/>
    <w:rsid w:val="00DF7D74"/>
    <w:rsid w:val="00E00C4A"/>
    <w:rsid w:val="00E0114A"/>
    <w:rsid w:val="00E02471"/>
    <w:rsid w:val="00E04346"/>
    <w:rsid w:val="00E06E99"/>
    <w:rsid w:val="00E21819"/>
    <w:rsid w:val="00E226F3"/>
    <w:rsid w:val="00E22F61"/>
    <w:rsid w:val="00E239AC"/>
    <w:rsid w:val="00E24FB2"/>
    <w:rsid w:val="00E25C8E"/>
    <w:rsid w:val="00E32806"/>
    <w:rsid w:val="00E32EA2"/>
    <w:rsid w:val="00E43BE8"/>
    <w:rsid w:val="00E45EBF"/>
    <w:rsid w:val="00E46728"/>
    <w:rsid w:val="00E47A7A"/>
    <w:rsid w:val="00E57924"/>
    <w:rsid w:val="00E6132B"/>
    <w:rsid w:val="00E63AD7"/>
    <w:rsid w:val="00E64536"/>
    <w:rsid w:val="00E64D02"/>
    <w:rsid w:val="00E70662"/>
    <w:rsid w:val="00E74013"/>
    <w:rsid w:val="00E910EB"/>
    <w:rsid w:val="00E94523"/>
    <w:rsid w:val="00E96559"/>
    <w:rsid w:val="00EA051F"/>
    <w:rsid w:val="00EA1AEA"/>
    <w:rsid w:val="00EA3C4A"/>
    <w:rsid w:val="00EA4002"/>
    <w:rsid w:val="00EA5426"/>
    <w:rsid w:val="00EA56C4"/>
    <w:rsid w:val="00EA5809"/>
    <w:rsid w:val="00EA6D40"/>
    <w:rsid w:val="00EA7942"/>
    <w:rsid w:val="00EB2856"/>
    <w:rsid w:val="00EB39FE"/>
    <w:rsid w:val="00EB499F"/>
    <w:rsid w:val="00EB61CB"/>
    <w:rsid w:val="00EC0AA5"/>
    <w:rsid w:val="00EC452E"/>
    <w:rsid w:val="00ED0CD7"/>
    <w:rsid w:val="00ED2180"/>
    <w:rsid w:val="00ED3DD9"/>
    <w:rsid w:val="00ED3E58"/>
    <w:rsid w:val="00ED6DDE"/>
    <w:rsid w:val="00ED6E47"/>
    <w:rsid w:val="00EE23EA"/>
    <w:rsid w:val="00EE2D0A"/>
    <w:rsid w:val="00EE36EB"/>
    <w:rsid w:val="00EE48A1"/>
    <w:rsid w:val="00EE5704"/>
    <w:rsid w:val="00EE61CD"/>
    <w:rsid w:val="00EE63B1"/>
    <w:rsid w:val="00EF3523"/>
    <w:rsid w:val="00EF5DE9"/>
    <w:rsid w:val="00EF63E8"/>
    <w:rsid w:val="00F009EE"/>
    <w:rsid w:val="00F01179"/>
    <w:rsid w:val="00F01365"/>
    <w:rsid w:val="00F015D1"/>
    <w:rsid w:val="00F01ACB"/>
    <w:rsid w:val="00F02F1A"/>
    <w:rsid w:val="00F03EC1"/>
    <w:rsid w:val="00F06BBC"/>
    <w:rsid w:val="00F125F8"/>
    <w:rsid w:val="00F12BC1"/>
    <w:rsid w:val="00F16C32"/>
    <w:rsid w:val="00F2061B"/>
    <w:rsid w:val="00F20672"/>
    <w:rsid w:val="00F21F76"/>
    <w:rsid w:val="00F34045"/>
    <w:rsid w:val="00F34251"/>
    <w:rsid w:val="00F34255"/>
    <w:rsid w:val="00F35716"/>
    <w:rsid w:val="00F35895"/>
    <w:rsid w:val="00F360CB"/>
    <w:rsid w:val="00F360DA"/>
    <w:rsid w:val="00F41141"/>
    <w:rsid w:val="00F4207C"/>
    <w:rsid w:val="00F422BE"/>
    <w:rsid w:val="00F4522F"/>
    <w:rsid w:val="00F478D1"/>
    <w:rsid w:val="00F53DF9"/>
    <w:rsid w:val="00F600CA"/>
    <w:rsid w:val="00F65A2C"/>
    <w:rsid w:val="00F65AB7"/>
    <w:rsid w:val="00F67AD9"/>
    <w:rsid w:val="00F70A02"/>
    <w:rsid w:val="00F7246E"/>
    <w:rsid w:val="00F73098"/>
    <w:rsid w:val="00F73DAF"/>
    <w:rsid w:val="00F8404C"/>
    <w:rsid w:val="00F85233"/>
    <w:rsid w:val="00F92593"/>
    <w:rsid w:val="00F93F9A"/>
    <w:rsid w:val="00F9502E"/>
    <w:rsid w:val="00F95CE7"/>
    <w:rsid w:val="00F968C6"/>
    <w:rsid w:val="00FA0642"/>
    <w:rsid w:val="00FA1307"/>
    <w:rsid w:val="00FB464D"/>
    <w:rsid w:val="00FB5C17"/>
    <w:rsid w:val="00FB7A6E"/>
    <w:rsid w:val="00FC05B4"/>
    <w:rsid w:val="00FC1453"/>
    <w:rsid w:val="00FC2C92"/>
    <w:rsid w:val="00FD0892"/>
    <w:rsid w:val="00FD58F6"/>
    <w:rsid w:val="00FD640B"/>
    <w:rsid w:val="00FD6475"/>
    <w:rsid w:val="00FE026B"/>
    <w:rsid w:val="00FE140F"/>
    <w:rsid w:val="00FE365D"/>
    <w:rsid w:val="00FE414E"/>
    <w:rsid w:val="00FE59FE"/>
    <w:rsid w:val="00FE5A8A"/>
    <w:rsid w:val="00FE5AB5"/>
    <w:rsid w:val="00FE6C0D"/>
    <w:rsid w:val="00FF0CBB"/>
    <w:rsid w:val="00FF1DE8"/>
    <w:rsid w:val="00FF6097"/>
    <w:rsid w:val="0356550D"/>
    <w:rsid w:val="05457867"/>
    <w:rsid w:val="06985739"/>
    <w:rsid w:val="06F779EC"/>
    <w:rsid w:val="07F82C20"/>
    <w:rsid w:val="07FB5F7A"/>
    <w:rsid w:val="094644C5"/>
    <w:rsid w:val="094A56D8"/>
    <w:rsid w:val="09A76B96"/>
    <w:rsid w:val="09AB63DF"/>
    <w:rsid w:val="0A25227A"/>
    <w:rsid w:val="0C4D12DF"/>
    <w:rsid w:val="0CAC4D03"/>
    <w:rsid w:val="0F8772CE"/>
    <w:rsid w:val="102C5E10"/>
    <w:rsid w:val="11EB48A9"/>
    <w:rsid w:val="131C1BA4"/>
    <w:rsid w:val="136240A4"/>
    <w:rsid w:val="18F65893"/>
    <w:rsid w:val="1C6573C4"/>
    <w:rsid w:val="1C6F2AE4"/>
    <w:rsid w:val="1C744C92"/>
    <w:rsid w:val="1D534A01"/>
    <w:rsid w:val="1E0C3498"/>
    <w:rsid w:val="1E3F11FC"/>
    <w:rsid w:val="23751ADF"/>
    <w:rsid w:val="23BD50E3"/>
    <w:rsid w:val="23EA7F6B"/>
    <w:rsid w:val="23ED50C1"/>
    <w:rsid w:val="23FC71CF"/>
    <w:rsid w:val="286A6A4E"/>
    <w:rsid w:val="2A69798D"/>
    <w:rsid w:val="2D487F71"/>
    <w:rsid w:val="2EED79EF"/>
    <w:rsid w:val="31B341AA"/>
    <w:rsid w:val="31F504F5"/>
    <w:rsid w:val="32E611FB"/>
    <w:rsid w:val="345B45BB"/>
    <w:rsid w:val="355C52D0"/>
    <w:rsid w:val="35AC3439"/>
    <w:rsid w:val="36EE6BD3"/>
    <w:rsid w:val="379C09A3"/>
    <w:rsid w:val="3A406EC9"/>
    <w:rsid w:val="3BBD4AF4"/>
    <w:rsid w:val="3DA9282E"/>
    <w:rsid w:val="3DE44076"/>
    <w:rsid w:val="3E9621F9"/>
    <w:rsid w:val="3F161310"/>
    <w:rsid w:val="436916B4"/>
    <w:rsid w:val="46D53001"/>
    <w:rsid w:val="4782726B"/>
    <w:rsid w:val="49A557FD"/>
    <w:rsid w:val="4B163799"/>
    <w:rsid w:val="4BA45C55"/>
    <w:rsid w:val="4EB87066"/>
    <w:rsid w:val="4F905221"/>
    <w:rsid w:val="52762608"/>
    <w:rsid w:val="55E3209B"/>
    <w:rsid w:val="5762413D"/>
    <w:rsid w:val="595A509B"/>
    <w:rsid w:val="59AC49F1"/>
    <w:rsid w:val="5AA86E1F"/>
    <w:rsid w:val="5D3677E6"/>
    <w:rsid w:val="60380051"/>
    <w:rsid w:val="611E205E"/>
    <w:rsid w:val="622C3D4B"/>
    <w:rsid w:val="64F96B9B"/>
    <w:rsid w:val="67C645FE"/>
    <w:rsid w:val="68126EF7"/>
    <w:rsid w:val="68384478"/>
    <w:rsid w:val="68B76F59"/>
    <w:rsid w:val="694110E9"/>
    <w:rsid w:val="6B1F00AA"/>
    <w:rsid w:val="6C8745B1"/>
    <w:rsid w:val="6E126109"/>
    <w:rsid w:val="6E60085A"/>
    <w:rsid w:val="6EB21675"/>
    <w:rsid w:val="6F157A32"/>
    <w:rsid w:val="730815F3"/>
    <w:rsid w:val="73856470"/>
    <w:rsid w:val="74C868DA"/>
    <w:rsid w:val="760675A8"/>
    <w:rsid w:val="76D417EE"/>
    <w:rsid w:val="7AC27525"/>
    <w:rsid w:val="7CDD1107"/>
    <w:rsid w:val="7DFF7E0E"/>
    <w:rsid w:val="7E70282A"/>
    <w:rsid w:val="7EA65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1" w:semiHidden="0" w:name="heading 3"/>
    <w:lsdException w:qFormat="1" w:unhideWhenUsed="0" w:uiPriority="1"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仿宋" w:eastAsia="仿宋" w:cs="仿宋"/>
      <w:kern w:val="2"/>
      <w:sz w:val="21"/>
      <w:szCs w:val="21"/>
      <w:lang w:val="en-US" w:eastAsia="zh-CN" w:bidi="ar-SA"/>
    </w:rPr>
  </w:style>
  <w:style w:type="paragraph" w:styleId="7">
    <w:name w:val="heading 1"/>
    <w:basedOn w:val="1"/>
    <w:next w:val="1"/>
    <w:link w:val="53"/>
    <w:qFormat/>
    <w:uiPriority w:val="1"/>
    <w:pPr>
      <w:keepNext/>
      <w:keepLines/>
      <w:ind w:firstLine="0" w:firstLineChars="0"/>
      <w:jc w:val="center"/>
      <w:outlineLvl w:val="0"/>
    </w:pPr>
    <w:rPr>
      <w:b/>
      <w:bCs/>
      <w:kern w:val="44"/>
      <w:sz w:val="24"/>
      <w:szCs w:val="24"/>
    </w:rPr>
  </w:style>
  <w:style w:type="paragraph" w:styleId="8">
    <w:name w:val="heading 2"/>
    <w:basedOn w:val="1"/>
    <w:next w:val="9"/>
    <w:link w:val="54"/>
    <w:qFormat/>
    <w:uiPriority w:val="9"/>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paragraph" w:styleId="10">
    <w:name w:val="heading 3"/>
    <w:basedOn w:val="1"/>
    <w:next w:val="1"/>
    <w:link w:val="55"/>
    <w:qFormat/>
    <w:uiPriority w:val="1"/>
    <w:pPr>
      <w:keepNext/>
      <w:keepLines/>
      <w:numPr>
        <w:ilvl w:val="2"/>
        <w:numId w:val="1"/>
      </w:numPr>
      <w:tabs>
        <w:tab w:val="clear" w:pos="1260"/>
      </w:tabs>
      <w:spacing w:before="260" w:after="260" w:line="416" w:lineRule="auto"/>
      <w:ind w:left="0" w:firstLine="0"/>
      <w:outlineLvl w:val="2"/>
    </w:pPr>
    <w:rPr>
      <w:rFonts w:ascii="Calibri" w:hAnsi="Calibri"/>
      <w:b/>
      <w:bCs/>
      <w:sz w:val="32"/>
      <w:szCs w:val="32"/>
    </w:rPr>
  </w:style>
  <w:style w:type="paragraph" w:styleId="11">
    <w:name w:val="heading 4"/>
    <w:basedOn w:val="1"/>
    <w:next w:val="1"/>
    <w:link w:val="56"/>
    <w:qFormat/>
    <w:uiPriority w:val="1"/>
    <w:pPr>
      <w:keepNext/>
      <w:keepLines/>
      <w:numPr>
        <w:ilvl w:val="3"/>
        <w:numId w:val="1"/>
      </w:numPr>
      <w:tabs>
        <w:tab w:val="clear" w:pos="864"/>
      </w:tabs>
      <w:spacing w:before="280" w:after="290" w:line="376" w:lineRule="auto"/>
      <w:ind w:left="0" w:firstLine="0"/>
      <w:outlineLvl w:val="3"/>
    </w:pPr>
    <w:rPr>
      <w:rFonts w:ascii="Cambria" w:hAnsi="Cambria"/>
      <w:b/>
      <w:bCs/>
      <w:szCs w:val="28"/>
    </w:rPr>
  </w:style>
  <w:style w:type="paragraph" w:styleId="12">
    <w:name w:val="heading 5"/>
    <w:basedOn w:val="1"/>
    <w:next w:val="1"/>
    <w:link w:val="57"/>
    <w:qFormat/>
    <w:uiPriority w:val="0"/>
    <w:pPr>
      <w:keepNext/>
      <w:keepLines/>
      <w:widowControl/>
      <w:numPr>
        <w:ilvl w:val="4"/>
        <w:numId w:val="1"/>
      </w:numPr>
      <w:spacing w:before="280" w:after="290" w:line="376" w:lineRule="auto"/>
      <w:outlineLvl w:val="4"/>
    </w:pPr>
    <w:rPr>
      <w:b/>
      <w:bCs/>
      <w:kern w:val="0"/>
      <w:szCs w:val="28"/>
    </w:rPr>
  </w:style>
  <w:style w:type="paragraph" w:styleId="13">
    <w:name w:val="heading 6"/>
    <w:basedOn w:val="1"/>
    <w:next w:val="1"/>
    <w:link w:val="58"/>
    <w:qFormat/>
    <w:uiPriority w:val="0"/>
    <w:pPr>
      <w:keepNext/>
      <w:keepLines/>
      <w:widowControl/>
      <w:numPr>
        <w:ilvl w:val="5"/>
        <w:numId w:val="1"/>
      </w:numPr>
      <w:spacing w:before="240" w:after="64" w:line="320" w:lineRule="auto"/>
      <w:outlineLvl w:val="5"/>
    </w:pPr>
    <w:rPr>
      <w:rFonts w:ascii="Arial" w:hAnsi="Arial" w:eastAsia="黑体"/>
      <w:b/>
      <w:bCs/>
      <w:kern w:val="0"/>
      <w:sz w:val="24"/>
    </w:rPr>
  </w:style>
  <w:style w:type="paragraph" w:styleId="14">
    <w:name w:val="heading 7"/>
    <w:basedOn w:val="1"/>
    <w:next w:val="1"/>
    <w:link w:val="59"/>
    <w:qFormat/>
    <w:uiPriority w:val="0"/>
    <w:pPr>
      <w:keepNext/>
      <w:keepLines/>
      <w:widowControl/>
      <w:numPr>
        <w:ilvl w:val="6"/>
        <w:numId w:val="1"/>
      </w:numPr>
      <w:spacing w:before="240" w:after="64" w:line="320" w:lineRule="auto"/>
      <w:outlineLvl w:val="6"/>
    </w:pPr>
    <w:rPr>
      <w:b/>
      <w:bCs/>
      <w:kern w:val="0"/>
      <w:sz w:val="24"/>
    </w:rPr>
  </w:style>
  <w:style w:type="paragraph" w:styleId="15">
    <w:name w:val="heading 8"/>
    <w:basedOn w:val="1"/>
    <w:next w:val="1"/>
    <w:link w:val="60"/>
    <w:qFormat/>
    <w:uiPriority w:val="0"/>
    <w:pPr>
      <w:keepNext/>
      <w:keepLines/>
      <w:widowControl/>
      <w:numPr>
        <w:ilvl w:val="7"/>
        <w:numId w:val="1"/>
      </w:numPr>
      <w:spacing w:before="240" w:after="64" w:line="320" w:lineRule="auto"/>
      <w:outlineLvl w:val="7"/>
    </w:pPr>
    <w:rPr>
      <w:rFonts w:ascii="Arial" w:hAnsi="Arial" w:eastAsia="黑体"/>
      <w:kern w:val="0"/>
      <w:sz w:val="24"/>
    </w:rPr>
  </w:style>
  <w:style w:type="paragraph" w:styleId="16">
    <w:name w:val="heading 9"/>
    <w:basedOn w:val="1"/>
    <w:next w:val="1"/>
    <w:link w:val="61"/>
    <w:qFormat/>
    <w:uiPriority w:val="0"/>
    <w:pPr>
      <w:keepNext/>
      <w:keepLines/>
      <w:widowControl/>
      <w:numPr>
        <w:ilvl w:val="8"/>
        <w:numId w:val="1"/>
      </w:numPr>
      <w:spacing w:before="240" w:after="64" w:line="320" w:lineRule="auto"/>
      <w:outlineLvl w:val="8"/>
    </w:pPr>
    <w:rPr>
      <w:rFonts w:ascii="Arial" w:hAnsi="Arial" w:eastAsia="黑体"/>
      <w:kern w:val="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hAnsi="Times New Roman"/>
      <w:szCs w:val="20"/>
    </w:rPr>
  </w:style>
  <w:style w:type="paragraph" w:styleId="3">
    <w:name w:val="Body Text"/>
    <w:basedOn w:val="1"/>
    <w:next w:val="4"/>
    <w:link w:val="71"/>
    <w:qFormat/>
    <w:uiPriority w:val="99"/>
    <w:pPr>
      <w:jc w:val="center"/>
    </w:pPr>
    <w:rPr>
      <w:sz w:val="24"/>
    </w:rPr>
  </w:style>
  <w:style w:type="paragraph" w:styleId="4">
    <w:name w:val="Body Text 2"/>
    <w:basedOn w:val="1"/>
    <w:next w:val="3"/>
    <w:qFormat/>
    <w:uiPriority w:val="0"/>
    <w:pPr>
      <w:spacing w:after="120" w:line="480" w:lineRule="auto"/>
    </w:pPr>
    <w:rPr>
      <w:rFonts w:ascii="Times New Roman" w:hAnsi="Times New Roman" w:cs="Times New Roman"/>
      <w:szCs w:val="20"/>
    </w:rPr>
  </w:style>
  <w:style w:type="paragraph" w:styleId="5">
    <w:name w:val="Body Text First Indent 2"/>
    <w:basedOn w:val="6"/>
    <w:next w:val="1"/>
    <w:unhideWhenUsed/>
    <w:qFormat/>
    <w:uiPriority w:val="0"/>
    <w:pPr>
      <w:spacing w:after="120"/>
      <w:ind w:left="420" w:leftChars="200" w:firstLine="420" w:firstLineChars="200"/>
    </w:pPr>
    <w:rPr>
      <w:rFonts w:ascii="Times New Roman" w:hAnsi="Times New Roman" w:eastAsia="宋体"/>
      <w:kern w:val="2"/>
      <w:sz w:val="21"/>
    </w:rPr>
  </w:style>
  <w:style w:type="paragraph" w:styleId="6">
    <w:name w:val="Body Text Indent"/>
    <w:basedOn w:val="1"/>
    <w:next w:val="1"/>
    <w:link w:val="50"/>
    <w:qFormat/>
    <w:uiPriority w:val="0"/>
    <w:pPr>
      <w:ind w:firstLine="600"/>
    </w:pPr>
    <w:rPr>
      <w:sz w:val="32"/>
      <w:szCs w:val="20"/>
    </w:rPr>
  </w:style>
  <w:style w:type="paragraph" w:styleId="9">
    <w:name w:val="Normal Indent"/>
    <w:basedOn w:val="1"/>
    <w:link w:val="68"/>
    <w:qFormat/>
    <w:uiPriority w:val="0"/>
    <w:pPr>
      <w:ind w:firstLine="420"/>
    </w:pPr>
    <w:rPr>
      <w:rFonts w:asciiTheme="minorHAnsi" w:hAnsiTheme="minorHAnsi" w:eastAsiaTheme="minorEastAsia" w:cstheme="minorBidi"/>
      <w:szCs w:val="22"/>
    </w:rPr>
  </w:style>
  <w:style w:type="paragraph" w:styleId="17">
    <w:name w:val="List Bullet"/>
    <w:basedOn w:val="1"/>
    <w:qFormat/>
    <w:uiPriority w:val="0"/>
    <w:pPr>
      <w:numPr>
        <w:ilvl w:val="0"/>
        <w:numId w:val="2"/>
      </w:numPr>
    </w:pPr>
  </w:style>
  <w:style w:type="paragraph" w:styleId="18">
    <w:name w:val="Document Map"/>
    <w:basedOn w:val="1"/>
    <w:link w:val="64"/>
    <w:semiHidden/>
    <w:qFormat/>
    <w:uiPriority w:val="0"/>
    <w:rPr>
      <w:rFonts w:ascii="Heiti SC Light" w:hAnsi="Calibri" w:eastAsia="Times New Roman"/>
      <w:sz w:val="24"/>
    </w:rPr>
  </w:style>
  <w:style w:type="paragraph" w:styleId="19">
    <w:name w:val="annotation text"/>
    <w:basedOn w:val="1"/>
    <w:link w:val="67"/>
    <w:qFormat/>
    <w:uiPriority w:val="0"/>
    <w:rPr>
      <w:rFonts w:asciiTheme="minorHAnsi" w:hAnsiTheme="minorHAnsi" w:eastAsiaTheme="minorEastAsia" w:cstheme="minorBidi"/>
      <w:szCs w:val="22"/>
    </w:rPr>
  </w:style>
  <w:style w:type="paragraph" w:styleId="20">
    <w:name w:val="Body Text 3"/>
    <w:basedOn w:val="1"/>
    <w:link w:val="129"/>
    <w:unhideWhenUsed/>
    <w:qFormat/>
    <w:uiPriority w:val="0"/>
    <w:pPr>
      <w:spacing w:after="120"/>
    </w:pPr>
    <w:rPr>
      <w:rFonts w:asciiTheme="minorHAnsi" w:hAnsiTheme="minorHAnsi" w:eastAsiaTheme="minorEastAsia" w:cstheme="minorBidi"/>
      <w:sz w:val="16"/>
      <w:szCs w:val="16"/>
    </w:rPr>
  </w:style>
  <w:style w:type="paragraph" w:styleId="21">
    <w:name w:val="List 2"/>
    <w:basedOn w:val="1"/>
    <w:qFormat/>
    <w:uiPriority w:val="0"/>
    <w:pPr>
      <w:ind w:left="100" w:leftChars="200" w:hanging="200" w:hangingChars="200"/>
    </w:pPr>
    <w:rPr>
      <w:sz w:val="21"/>
    </w:rPr>
  </w:style>
  <w:style w:type="paragraph" w:styleId="22">
    <w:name w:val="toc 3"/>
    <w:basedOn w:val="1"/>
    <w:next w:val="1"/>
    <w:qFormat/>
    <w:uiPriority w:val="0"/>
    <w:pPr>
      <w:ind w:left="840" w:leftChars="400"/>
    </w:pPr>
  </w:style>
  <w:style w:type="paragraph" w:styleId="23">
    <w:name w:val="Plain Text"/>
    <w:basedOn w:val="1"/>
    <w:link w:val="49"/>
    <w:qFormat/>
    <w:uiPriority w:val="0"/>
    <w:rPr>
      <w:rFonts w:ascii="宋体" w:hAnsi="Courier New" w:cs="Courier New"/>
    </w:rPr>
  </w:style>
  <w:style w:type="paragraph" w:styleId="24">
    <w:name w:val="Date"/>
    <w:basedOn w:val="1"/>
    <w:next w:val="1"/>
    <w:link w:val="125"/>
    <w:semiHidden/>
    <w:unhideWhenUsed/>
    <w:qFormat/>
    <w:uiPriority w:val="99"/>
    <w:pPr>
      <w:ind w:left="100" w:leftChars="2500"/>
    </w:pPr>
    <w:rPr>
      <w:rFonts w:asciiTheme="minorHAnsi" w:hAnsiTheme="minorHAnsi" w:eastAsiaTheme="minorEastAsia" w:cstheme="minorBidi"/>
      <w:szCs w:val="22"/>
    </w:rPr>
  </w:style>
  <w:style w:type="paragraph" w:styleId="25">
    <w:name w:val="Balloon Text"/>
    <w:basedOn w:val="1"/>
    <w:link w:val="51"/>
    <w:unhideWhenUsed/>
    <w:qFormat/>
    <w:uiPriority w:val="99"/>
    <w:rPr>
      <w:sz w:val="18"/>
      <w:szCs w:val="18"/>
    </w:rPr>
  </w:style>
  <w:style w:type="paragraph" w:styleId="26">
    <w:name w:val="footer"/>
    <w:basedOn w:val="1"/>
    <w:link w:val="48"/>
    <w:qFormat/>
    <w:uiPriority w:val="99"/>
    <w:pPr>
      <w:tabs>
        <w:tab w:val="center" w:pos="4153"/>
        <w:tab w:val="right" w:pos="8306"/>
      </w:tabs>
      <w:snapToGrid w:val="0"/>
      <w:spacing w:line="240" w:lineRule="auto"/>
      <w:ind w:firstLine="0" w:firstLineChars="0"/>
      <w:jc w:val="center"/>
    </w:pPr>
    <w:rPr>
      <w:szCs w:val="18"/>
    </w:rPr>
  </w:style>
  <w:style w:type="paragraph" w:styleId="27">
    <w:name w:val="header"/>
    <w:basedOn w:val="1"/>
    <w:link w:val="119"/>
    <w:qFormat/>
    <w:uiPriority w:val="99"/>
    <w:pPr>
      <w:tabs>
        <w:tab w:val="center" w:pos="4153"/>
        <w:tab w:val="right" w:pos="8306"/>
      </w:tabs>
      <w:snapToGrid w:val="0"/>
      <w:jc w:val="center"/>
    </w:pPr>
    <w:rPr>
      <w:sz w:val="18"/>
      <w:szCs w:val="18"/>
    </w:rPr>
  </w:style>
  <w:style w:type="paragraph" w:styleId="28">
    <w:name w:val="toc 1"/>
    <w:basedOn w:val="1"/>
    <w:next w:val="1"/>
    <w:qFormat/>
    <w:uiPriority w:val="39"/>
    <w:pPr>
      <w:ind w:firstLine="0" w:firstLineChars="0"/>
      <w:jc w:val="center"/>
    </w:pPr>
    <w:rPr>
      <w:b/>
      <w:szCs w:val="24"/>
    </w:rPr>
  </w:style>
  <w:style w:type="paragraph" w:styleId="29">
    <w:name w:val="Body Text Indent 3"/>
    <w:basedOn w:val="1"/>
    <w:link w:val="75"/>
    <w:qFormat/>
    <w:uiPriority w:val="0"/>
    <w:pPr>
      <w:spacing w:after="120"/>
      <w:ind w:left="420" w:leftChars="200"/>
    </w:pPr>
    <w:rPr>
      <w:sz w:val="16"/>
      <w:szCs w:val="16"/>
    </w:rPr>
  </w:style>
  <w:style w:type="paragraph" w:styleId="30">
    <w:name w:val="toc 2"/>
    <w:basedOn w:val="1"/>
    <w:next w:val="1"/>
    <w:unhideWhenUsed/>
    <w:qFormat/>
    <w:uiPriority w:val="39"/>
    <w:pPr>
      <w:ind w:left="420" w:leftChars="200"/>
    </w:pPr>
    <w:rPr>
      <w:rFonts w:ascii="Calibri" w:hAnsi="Calibri"/>
      <w:szCs w:val="22"/>
    </w:rPr>
  </w:style>
  <w:style w:type="paragraph" w:styleId="31">
    <w:name w:val="Normal (Web)"/>
    <w:basedOn w:val="1"/>
    <w:qFormat/>
    <w:uiPriority w:val="0"/>
    <w:rPr>
      <w:sz w:val="24"/>
      <w:szCs w:val="20"/>
    </w:rPr>
  </w:style>
  <w:style w:type="paragraph" w:styleId="32">
    <w:name w:val="Title"/>
    <w:basedOn w:val="1"/>
    <w:next w:val="1"/>
    <w:link w:val="77"/>
    <w:qFormat/>
    <w:uiPriority w:val="0"/>
    <w:pPr>
      <w:jc w:val="center"/>
      <w:outlineLvl w:val="0"/>
    </w:pPr>
    <w:rPr>
      <w:b/>
      <w:bCs/>
    </w:rPr>
  </w:style>
  <w:style w:type="paragraph" w:styleId="33">
    <w:name w:val="annotation subject"/>
    <w:basedOn w:val="19"/>
    <w:next w:val="19"/>
    <w:link w:val="132"/>
    <w:unhideWhenUsed/>
    <w:qFormat/>
    <w:uiPriority w:val="99"/>
    <w:rPr>
      <w:rFonts w:ascii="Calibri" w:hAnsi="Calibri" w:eastAsia="宋体" w:cs="Times New Roman"/>
      <w:b/>
      <w:bCs/>
    </w:rPr>
  </w:style>
  <w:style w:type="table" w:styleId="35">
    <w:name w:val="Table Grid"/>
    <w:basedOn w:val="3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sz w:val="24"/>
      <w:szCs w:val="24"/>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Emphasis"/>
    <w:qFormat/>
    <w:uiPriority w:val="20"/>
    <w:rPr>
      <w:color w:val="CC0000"/>
    </w:rPr>
  </w:style>
  <w:style w:type="character" w:styleId="41">
    <w:name w:val="HTML Definition"/>
    <w:unhideWhenUsed/>
    <w:qFormat/>
    <w:uiPriority w:val="99"/>
    <w:rPr>
      <w:i/>
    </w:rPr>
  </w:style>
  <w:style w:type="character" w:styleId="42">
    <w:name w:val="Hyperlink"/>
    <w:qFormat/>
    <w:uiPriority w:val="99"/>
    <w:rPr>
      <w:color w:val="0000FF"/>
      <w:u w:val="single"/>
    </w:rPr>
  </w:style>
  <w:style w:type="character" w:styleId="43">
    <w:name w:val="HTML Code"/>
    <w:unhideWhenUsed/>
    <w:qFormat/>
    <w:uiPriority w:val="99"/>
    <w:rPr>
      <w:rFonts w:ascii="Menlo" w:hAnsi="Menlo" w:eastAsia="Menlo" w:cs="Menlo"/>
      <w:color w:val="C7254E"/>
      <w:sz w:val="21"/>
      <w:szCs w:val="21"/>
      <w:shd w:val="clear" w:color="auto" w:fill="F9F2F4"/>
    </w:rPr>
  </w:style>
  <w:style w:type="character" w:styleId="44">
    <w:name w:val="annotation reference"/>
    <w:qFormat/>
    <w:uiPriority w:val="0"/>
    <w:rPr>
      <w:sz w:val="21"/>
    </w:rPr>
  </w:style>
  <w:style w:type="character" w:styleId="45">
    <w:name w:val="HTML Cite"/>
    <w:unhideWhenUsed/>
    <w:qFormat/>
    <w:uiPriority w:val="99"/>
    <w:rPr>
      <w:sz w:val="24"/>
      <w:szCs w:val="24"/>
    </w:rPr>
  </w:style>
  <w:style w:type="character" w:styleId="46">
    <w:name w:val="HTML Keyboard"/>
    <w:unhideWhenUsed/>
    <w:qFormat/>
    <w:uiPriority w:val="99"/>
    <w:rPr>
      <w:rFonts w:hint="default" w:ascii="Menlo" w:hAnsi="Menlo" w:eastAsia="Menlo" w:cs="Menlo"/>
      <w:color w:val="FFFFFF"/>
      <w:sz w:val="21"/>
      <w:szCs w:val="21"/>
      <w:shd w:val="clear" w:color="auto" w:fill="333333"/>
    </w:rPr>
  </w:style>
  <w:style w:type="character" w:styleId="47">
    <w:name w:val="HTML Sample"/>
    <w:unhideWhenUsed/>
    <w:qFormat/>
    <w:uiPriority w:val="99"/>
    <w:rPr>
      <w:rFonts w:hint="default" w:ascii="Menlo" w:hAnsi="Menlo" w:eastAsia="Menlo" w:cs="Menlo"/>
      <w:sz w:val="21"/>
      <w:szCs w:val="21"/>
    </w:rPr>
  </w:style>
  <w:style w:type="character" w:customStyle="1" w:styleId="48">
    <w:name w:val="页脚 Char"/>
    <w:basedOn w:val="36"/>
    <w:link w:val="26"/>
    <w:qFormat/>
    <w:uiPriority w:val="99"/>
    <w:rPr>
      <w:rFonts w:ascii="仿宋" w:hAnsi="仿宋" w:eastAsia="仿宋" w:cs="仿宋"/>
      <w:szCs w:val="18"/>
    </w:rPr>
  </w:style>
  <w:style w:type="character" w:customStyle="1" w:styleId="49">
    <w:name w:val="纯文本 Char"/>
    <w:basedOn w:val="36"/>
    <w:link w:val="23"/>
    <w:qFormat/>
    <w:uiPriority w:val="0"/>
    <w:rPr>
      <w:rFonts w:ascii="宋体" w:hAnsi="Courier New" w:eastAsia="宋体" w:cs="Courier New"/>
      <w:szCs w:val="21"/>
    </w:rPr>
  </w:style>
  <w:style w:type="character" w:customStyle="1" w:styleId="50">
    <w:name w:val="正文文本缩进 Char"/>
    <w:basedOn w:val="36"/>
    <w:link w:val="6"/>
    <w:qFormat/>
    <w:uiPriority w:val="0"/>
    <w:rPr>
      <w:rFonts w:ascii="Times New Roman" w:hAnsi="Times New Roman" w:eastAsia="宋体" w:cs="Times New Roman"/>
      <w:sz w:val="32"/>
      <w:szCs w:val="20"/>
    </w:rPr>
  </w:style>
  <w:style w:type="character" w:customStyle="1" w:styleId="51">
    <w:name w:val="批注框文本 Char"/>
    <w:basedOn w:val="36"/>
    <w:link w:val="25"/>
    <w:qFormat/>
    <w:uiPriority w:val="99"/>
    <w:rPr>
      <w:rFonts w:ascii="Times New Roman" w:hAnsi="Times New Roman" w:eastAsia="宋体" w:cs="Times New Roman"/>
      <w:sz w:val="18"/>
      <w:szCs w:val="18"/>
    </w:rPr>
  </w:style>
  <w:style w:type="paragraph" w:styleId="52">
    <w:name w:val="List Paragraph"/>
    <w:basedOn w:val="1"/>
    <w:qFormat/>
    <w:uiPriority w:val="1"/>
    <w:pPr>
      <w:ind w:firstLine="420"/>
    </w:pPr>
  </w:style>
  <w:style w:type="character" w:customStyle="1" w:styleId="53">
    <w:name w:val="标题 1 Char"/>
    <w:basedOn w:val="36"/>
    <w:link w:val="7"/>
    <w:qFormat/>
    <w:uiPriority w:val="1"/>
    <w:rPr>
      <w:rFonts w:ascii="仿宋" w:hAnsi="仿宋" w:eastAsia="仿宋" w:cs="仿宋"/>
      <w:b/>
      <w:bCs/>
      <w:kern w:val="44"/>
      <w:sz w:val="24"/>
      <w:szCs w:val="24"/>
    </w:rPr>
  </w:style>
  <w:style w:type="character" w:customStyle="1" w:styleId="54">
    <w:name w:val="标题 2 Char"/>
    <w:basedOn w:val="36"/>
    <w:link w:val="8"/>
    <w:qFormat/>
    <w:uiPriority w:val="9"/>
    <w:rPr>
      <w:rFonts w:ascii="Cambria" w:hAnsi="Cambria" w:eastAsia="宋体" w:cs="Times New Roman"/>
      <w:b/>
      <w:bCs/>
      <w:sz w:val="28"/>
      <w:szCs w:val="32"/>
    </w:rPr>
  </w:style>
  <w:style w:type="character" w:customStyle="1" w:styleId="55">
    <w:name w:val="标题 3 Char"/>
    <w:basedOn w:val="36"/>
    <w:link w:val="10"/>
    <w:qFormat/>
    <w:uiPriority w:val="1"/>
    <w:rPr>
      <w:rFonts w:ascii="Calibri" w:hAnsi="Calibri" w:eastAsia="宋体" w:cs="Times New Roman"/>
      <w:b/>
      <w:bCs/>
      <w:sz w:val="32"/>
      <w:szCs w:val="32"/>
    </w:rPr>
  </w:style>
  <w:style w:type="character" w:customStyle="1" w:styleId="56">
    <w:name w:val="标题 4 Char"/>
    <w:basedOn w:val="36"/>
    <w:link w:val="11"/>
    <w:qFormat/>
    <w:uiPriority w:val="1"/>
    <w:rPr>
      <w:rFonts w:ascii="Cambria" w:hAnsi="Cambria" w:eastAsia="宋体" w:cs="Times New Roman"/>
      <w:b/>
      <w:bCs/>
      <w:sz w:val="28"/>
      <w:szCs w:val="28"/>
    </w:rPr>
  </w:style>
  <w:style w:type="character" w:customStyle="1" w:styleId="57">
    <w:name w:val="标题 5 Char"/>
    <w:basedOn w:val="36"/>
    <w:link w:val="12"/>
    <w:qFormat/>
    <w:uiPriority w:val="0"/>
    <w:rPr>
      <w:rFonts w:ascii="Times New Roman" w:hAnsi="Times New Roman" w:eastAsia="宋体" w:cs="Times New Roman"/>
      <w:b/>
      <w:bCs/>
      <w:kern w:val="0"/>
      <w:sz w:val="28"/>
      <w:szCs w:val="28"/>
    </w:rPr>
  </w:style>
  <w:style w:type="character" w:customStyle="1" w:styleId="58">
    <w:name w:val="标题 6 Char"/>
    <w:basedOn w:val="36"/>
    <w:link w:val="13"/>
    <w:qFormat/>
    <w:uiPriority w:val="0"/>
    <w:rPr>
      <w:rFonts w:ascii="Arial" w:hAnsi="Arial" w:eastAsia="黑体" w:cs="Times New Roman"/>
      <w:b/>
      <w:bCs/>
      <w:kern w:val="0"/>
      <w:sz w:val="24"/>
      <w:szCs w:val="24"/>
    </w:rPr>
  </w:style>
  <w:style w:type="character" w:customStyle="1" w:styleId="59">
    <w:name w:val="标题 7 Char"/>
    <w:basedOn w:val="36"/>
    <w:link w:val="14"/>
    <w:qFormat/>
    <w:uiPriority w:val="0"/>
    <w:rPr>
      <w:rFonts w:ascii="Times New Roman" w:hAnsi="Times New Roman" w:eastAsia="宋体" w:cs="Times New Roman"/>
      <w:b/>
      <w:bCs/>
      <w:kern w:val="0"/>
      <w:sz w:val="24"/>
      <w:szCs w:val="24"/>
    </w:rPr>
  </w:style>
  <w:style w:type="character" w:customStyle="1" w:styleId="60">
    <w:name w:val="标题 8 Char"/>
    <w:basedOn w:val="36"/>
    <w:link w:val="15"/>
    <w:qFormat/>
    <w:uiPriority w:val="0"/>
    <w:rPr>
      <w:rFonts w:ascii="Arial" w:hAnsi="Arial" w:eastAsia="黑体" w:cs="Times New Roman"/>
      <w:kern w:val="0"/>
      <w:sz w:val="24"/>
      <w:szCs w:val="24"/>
    </w:rPr>
  </w:style>
  <w:style w:type="character" w:customStyle="1" w:styleId="61">
    <w:name w:val="标题 9 Char"/>
    <w:basedOn w:val="36"/>
    <w:link w:val="16"/>
    <w:qFormat/>
    <w:uiPriority w:val="0"/>
    <w:rPr>
      <w:rFonts w:ascii="Arial" w:hAnsi="Arial" w:eastAsia="黑体" w:cs="Times New Roman"/>
      <w:kern w:val="0"/>
      <w:szCs w:val="21"/>
    </w:rPr>
  </w:style>
  <w:style w:type="paragraph" w:customStyle="1" w:styleId="62">
    <w:name w:val="列出段落1"/>
    <w:basedOn w:val="1"/>
    <w:qFormat/>
    <w:uiPriority w:val="0"/>
    <w:pPr>
      <w:ind w:firstLine="420"/>
    </w:pPr>
    <w:rPr>
      <w:rFonts w:ascii="Calibri" w:hAnsi="Calibri"/>
      <w:szCs w:val="22"/>
    </w:rPr>
  </w:style>
  <w:style w:type="paragraph" w:customStyle="1" w:styleId="63">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4">
    <w:name w:val="文档结构图 Char"/>
    <w:basedOn w:val="36"/>
    <w:link w:val="18"/>
    <w:semiHidden/>
    <w:qFormat/>
    <w:uiPriority w:val="0"/>
    <w:rPr>
      <w:rFonts w:ascii="Heiti SC Light" w:hAnsi="Calibri" w:eastAsia="Times New Roman" w:cs="Times New Roman"/>
      <w:sz w:val="24"/>
      <w:szCs w:val="24"/>
    </w:rPr>
  </w:style>
  <w:style w:type="paragraph" w:customStyle="1" w:styleId="65">
    <w:name w:val="Char Char"/>
    <w:basedOn w:val="1"/>
    <w:qFormat/>
    <w:uiPriority w:val="0"/>
    <w:rPr>
      <w:rFonts w:ascii="Tahoma" w:hAnsi="Tahoma"/>
      <w:sz w:val="24"/>
      <w:szCs w:val="20"/>
    </w:rPr>
  </w:style>
  <w:style w:type="paragraph" w:customStyle="1" w:styleId="66">
    <w:name w:val="大汉方案正文"/>
    <w:basedOn w:val="1"/>
    <w:qFormat/>
    <w:uiPriority w:val="0"/>
    <w:rPr>
      <w:rFonts w:ascii="Arial" w:hAnsi="Arial"/>
      <w:sz w:val="24"/>
      <w:szCs w:val="20"/>
    </w:rPr>
  </w:style>
  <w:style w:type="character" w:customStyle="1" w:styleId="67">
    <w:name w:val="批注文字 Char"/>
    <w:link w:val="19"/>
    <w:qFormat/>
    <w:uiPriority w:val="0"/>
    <w:rPr>
      <w:sz w:val="28"/>
    </w:rPr>
  </w:style>
  <w:style w:type="character" w:customStyle="1" w:styleId="68">
    <w:name w:val="正文缩进 Char"/>
    <w:link w:val="9"/>
    <w:qFormat/>
    <w:uiPriority w:val="0"/>
  </w:style>
  <w:style w:type="character" w:customStyle="1" w:styleId="69">
    <w:name w:val="纯文本 Char1"/>
    <w:qFormat/>
    <w:uiPriority w:val="0"/>
    <w:rPr>
      <w:rFonts w:ascii="宋体" w:hAnsi="Courier New" w:cs="Courier New"/>
      <w:kern w:val="2"/>
      <w:sz w:val="21"/>
      <w:szCs w:val="21"/>
    </w:rPr>
  </w:style>
  <w:style w:type="character" w:customStyle="1" w:styleId="70">
    <w:name w:val="批注文字 Char1"/>
    <w:basedOn w:val="36"/>
    <w:qFormat/>
    <w:uiPriority w:val="0"/>
    <w:rPr>
      <w:rFonts w:ascii="Times New Roman" w:hAnsi="Times New Roman" w:eastAsia="宋体" w:cs="Times New Roman"/>
      <w:sz w:val="28"/>
      <w:szCs w:val="24"/>
    </w:rPr>
  </w:style>
  <w:style w:type="character" w:customStyle="1" w:styleId="71">
    <w:name w:val="正文文本 Char"/>
    <w:basedOn w:val="36"/>
    <w:link w:val="3"/>
    <w:qFormat/>
    <w:uiPriority w:val="99"/>
    <w:rPr>
      <w:rFonts w:ascii="仿宋" w:hAnsi="仿宋" w:eastAsia="仿宋" w:cs="仿宋"/>
      <w:sz w:val="24"/>
      <w:szCs w:val="21"/>
    </w:rPr>
  </w:style>
  <w:style w:type="paragraph" w:customStyle="1" w:styleId="72">
    <w:name w:val="retrait3"/>
    <w:basedOn w:val="1"/>
    <w:qFormat/>
    <w:uiPriority w:val="0"/>
    <w:pPr>
      <w:widowControl/>
      <w:spacing w:before="20" w:after="20"/>
      <w:ind w:left="851"/>
    </w:pPr>
    <w:rPr>
      <w:rFonts w:ascii="Arial" w:hAnsi="Arial"/>
      <w:kern w:val="0"/>
      <w:sz w:val="24"/>
      <w:szCs w:val="20"/>
      <w:lang w:val="en-GB"/>
    </w:rPr>
  </w:style>
  <w:style w:type="character" w:customStyle="1" w:styleId="73">
    <w:name w:val="apple-converted-space"/>
    <w:qFormat/>
    <w:uiPriority w:val="0"/>
  </w:style>
  <w:style w:type="paragraph" w:customStyle="1" w:styleId="7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character" w:customStyle="1" w:styleId="75">
    <w:name w:val="正文文本缩进 3 Char"/>
    <w:basedOn w:val="36"/>
    <w:link w:val="29"/>
    <w:qFormat/>
    <w:uiPriority w:val="0"/>
    <w:rPr>
      <w:rFonts w:ascii="Times New Roman" w:hAnsi="Times New Roman" w:eastAsia="宋体" w:cs="Times New Roman"/>
      <w:sz w:val="16"/>
      <w:szCs w:val="16"/>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标题 Char"/>
    <w:basedOn w:val="36"/>
    <w:link w:val="32"/>
    <w:qFormat/>
    <w:uiPriority w:val="0"/>
    <w:rPr>
      <w:rFonts w:ascii="仿宋" w:hAnsi="仿宋" w:eastAsia="仿宋" w:cs="仿宋"/>
      <w:b/>
      <w:bCs/>
      <w:szCs w:val="21"/>
    </w:rPr>
  </w:style>
  <w:style w:type="paragraph" w:customStyle="1" w:styleId="78">
    <w:name w:val="列出段落2"/>
    <w:basedOn w:val="1"/>
    <w:qFormat/>
    <w:uiPriority w:val="0"/>
    <w:pPr>
      <w:ind w:firstLine="420"/>
    </w:pPr>
    <w:rPr>
      <w:rFonts w:ascii="Calibri" w:hAnsi="Calibri"/>
      <w:szCs w:val="22"/>
    </w:rPr>
  </w:style>
  <w:style w:type="paragraph" w:customStyle="1" w:styleId="79">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
    <w:name w:val="标题 3 Char1"/>
    <w:qFormat/>
    <w:uiPriority w:val="0"/>
    <w:rPr>
      <w:rFonts w:ascii="Times New Roman" w:hAnsi="Times New Roman" w:eastAsia="宋体" w:cs="Times New Roman"/>
      <w:sz w:val="24"/>
      <w:szCs w:val="20"/>
    </w:rPr>
  </w:style>
  <w:style w:type="paragraph" w:customStyle="1" w:styleId="81">
    <w:name w:val="Char Char11 Char Char Char Char"/>
    <w:basedOn w:val="1"/>
    <w:qFormat/>
    <w:uiPriority w:val="0"/>
    <w:pPr>
      <w:tabs>
        <w:tab w:val="left" w:pos="360"/>
      </w:tabs>
    </w:pPr>
  </w:style>
  <w:style w:type="paragraph" w:customStyle="1" w:styleId="82">
    <w:name w:val="xl65"/>
    <w:basedOn w:val="1"/>
    <w:qFormat/>
    <w:uiPriority w:val="0"/>
    <w:pPr>
      <w:widowControl/>
      <w:spacing w:before="100" w:beforeAutospacing="1" w:after="100" w:afterAutospacing="1"/>
      <w:textAlignment w:val="bottom"/>
    </w:pPr>
    <w:rPr>
      <w:rFonts w:ascii="宋体" w:hAnsi="宋体" w:cs="宋体"/>
      <w:kern w:val="0"/>
      <w:sz w:val="18"/>
      <w:szCs w:val="18"/>
    </w:rPr>
  </w:style>
  <w:style w:type="paragraph" w:customStyle="1" w:styleId="83">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4">
    <w:name w:val="xl67"/>
    <w:basedOn w:val="1"/>
    <w:qFormat/>
    <w:uiPriority w:val="0"/>
    <w:pPr>
      <w:widowControl/>
      <w:spacing w:before="100" w:beforeAutospacing="1" w:after="100" w:afterAutospacing="1"/>
      <w:textAlignment w:val="bottom"/>
    </w:pPr>
    <w:rPr>
      <w:rFonts w:ascii="宋体" w:hAnsi="宋体" w:cs="宋体"/>
      <w:kern w:val="0"/>
      <w:sz w:val="18"/>
      <w:szCs w:val="18"/>
    </w:rPr>
  </w:style>
  <w:style w:type="paragraph" w:customStyle="1" w:styleId="85">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6">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7">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8">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89">
    <w:name w:val="xl72"/>
    <w:basedOn w:val="1"/>
    <w:qFormat/>
    <w:uiPriority w:val="0"/>
    <w:pPr>
      <w:widowControl/>
      <w:spacing w:before="100" w:beforeAutospacing="1" w:after="100" w:afterAutospacing="1"/>
      <w:textAlignment w:val="bottom"/>
    </w:pPr>
    <w:rPr>
      <w:rFonts w:ascii="宋体" w:hAnsi="宋体" w:cs="宋体"/>
      <w:kern w:val="0"/>
      <w:sz w:val="16"/>
      <w:szCs w:val="16"/>
    </w:rPr>
  </w:style>
  <w:style w:type="paragraph" w:customStyle="1" w:styleId="90">
    <w:name w:val="xl73"/>
    <w:basedOn w:val="1"/>
    <w:qFormat/>
    <w:uiPriority w:val="0"/>
    <w:pPr>
      <w:widowControl/>
      <w:spacing w:before="100" w:beforeAutospacing="1" w:after="100" w:afterAutospacing="1"/>
      <w:textAlignment w:val="bottom"/>
    </w:pPr>
    <w:rPr>
      <w:rFonts w:ascii="宋体" w:hAnsi="宋体" w:cs="宋体"/>
      <w:kern w:val="0"/>
      <w:sz w:val="18"/>
      <w:szCs w:val="18"/>
    </w:rPr>
  </w:style>
  <w:style w:type="paragraph" w:customStyle="1" w:styleId="91">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92">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93">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94">
    <w:name w:val="xl77"/>
    <w:basedOn w:val="1"/>
    <w:qFormat/>
    <w:uiPriority w:val="0"/>
    <w:pPr>
      <w:widowControl/>
      <w:spacing w:before="100" w:beforeAutospacing="1" w:after="100" w:afterAutospacing="1"/>
      <w:textAlignment w:val="bottom"/>
    </w:pPr>
    <w:rPr>
      <w:rFonts w:ascii="宋体" w:hAnsi="宋体" w:cs="宋体"/>
      <w:kern w:val="0"/>
      <w:sz w:val="16"/>
      <w:szCs w:val="16"/>
    </w:rPr>
  </w:style>
  <w:style w:type="paragraph" w:customStyle="1" w:styleId="95">
    <w:name w:val="xl78"/>
    <w:basedOn w:val="1"/>
    <w:qFormat/>
    <w:uiPriority w:val="0"/>
    <w:pPr>
      <w:widowControl/>
      <w:spacing w:before="100" w:beforeAutospacing="1" w:after="100" w:afterAutospacing="1"/>
      <w:textAlignment w:val="bottom"/>
    </w:pPr>
    <w:rPr>
      <w:rFonts w:ascii="宋体" w:hAnsi="宋体" w:cs="宋体"/>
      <w:kern w:val="0"/>
      <w:sz w:val="18"/>
      <w:szCs w:val="18"/>
    </w:rPr>
  </w:style>
  <w:style w:type="paragraph" w:customStyle="1" w:styleId="96">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97">
    <w:name w:val="xl80"/>
    <w:basedOn w:val="1"/>
    <w:qFormat/>
    <w:uiPriority w:val="0"/>
    <w:pPr>
      <w:widowControl/>
      <w:spacing w:before="100" w:beforeAutospacing="1" w:after="100" w:afterAutospacing="1"/>
      <w:textAlignment w:val="bottom"/>
    </w:pPr>
    <w:rPr>
      <w:rFonts w:ascii="宋体" w:hAnsi="宋体" w:cs="宋体"/>
      <w:b/>
      <w:bCs/>
      <w:kern w:val="0"/>
      <w:sz w:val="18"/>
      <w:szCs w:val="18"/>
    </w:rPr>
  </w:style>
  <w:style w:type="paragraph" w:customStyle="1" w:styleId="98">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9">
    <w:name w:val="xl82"/>
    <w:basedOn w:val="1"/>
    <w:qFormat/>
    <w:uiPriority w:val="0"/>
    <w:pPr>
      <w:widowControl/>
      <w:shd w:val="clear" w:color="000000" w:fill="C0C0C0"/>
      <w:spacing w:before="100" w:beforeAutospacing="1" w:after="100" w:afterAutospacing="1"/>
      <w:textAlignment w:val="bottom"/>
    </w:pPr>
    <w:rPr>
      <w:rFonts w:ascii="宋体" w:hAnsi="宋体" w:cs="宋体"/>
      <w:b/>
      <w:bCs/>
      <w:kern w:val="0"/>
      <w:sz w:val="18"/>
      <w:szCs w:val="18"/>
    </w:rPr>
  </w:style>
  <w:style w:type="paragraph" w:customStyle="1" w:styleId="100">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101">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2">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103">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104">
    <w:name w:val="xl87"/>
    <w:basedOn w:val="1"/>
    <w:qFormat/>
    <w:uiPriority w:val="0"/>
    <w:pPr>
      <w:widowControl/>
      <w:spacing w:before="100" w:beforeAutospacing="1" w:after="100" w:afterAutospacing="1"/>
      <w:textAlignment w:val="bottom"/>
    </w:pPr>
    <w:rPr>
      <w:rFonts w:ascii="宋体" w:hAnsi="宋体" w:cs="宋体"/>
      <w:b/>
      <w:bCs/>
      <w:kern w:val="0"/>
      <w:sz w:val="16"/>
      <w:szCs w:val="16"/>
    </w:rPr>
  </w:style>
  <w:style w:type="paragraph" w:customStyle="1" w:styleId="105">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6">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107">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8">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9">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10">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1">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2">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3">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14">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115">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116">
    <w:name w:val="xl99"/>
    <w:basedOn w:val="1"/>
    <w:qFormat/>
    <w:uiPriority w:val="0"/>
    <w:pPr>
      <w:widowControl/>
      <w:shd w:val="clear" w:color="000000" w:fill="C0C0C0"/>
      <w:spacing w:before="100" w:beforeAutospacing="1" w:after="100" w:afterAutospacing="1"/>
      <w:textAlignment w:val="bottom"/>
    </w:pPr>
    <w:rPr>
      <w:rFonts w:ascii="宋体" w:hAnsi="宋体" w:cs="宋体"/>
      <w:b/>
      <w:bCs/>
      <w:kern w:val="0"/>
      <w:sz w:val="18"/>
      <w:szCs w:val="18"/>
    </w:rPr>
  </w:style>
  <w:style w:type="paragraph" w:customStyle="1" w:styleId="117">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8">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119">
    <w:name w:val="页眉 Char"/>
    <w:basedOn w:val="36"/>
    <w:link w:val="27"/>
    <w:qFormat/>
    <w:uiPriority w:val="99"/>
    <w:rPr>
      <w:rFonts w:ascii="仿宋" w:hAnsi="仿宋" w:eastAsia="仿宋" w:cs="仿宋"/>
      <w:sz w:val="18"/>
      <w:szCs w:val="18"/>
    </w:rPr>
  </w:style>
  <w:style w:type="paragraph" w:customStyle="1" w:styleId="120">
    <w:name w:val="Table Paragraph"/>
    <w:basedOn w:val="1"/>
    <w:qFormat/>
    <w:uiPriority w:val="99"/>
    <w:pPr>
      <w:autoSpaceDE w:val="0"/>
      <w:autoSpaceDN w:val="0"/>
    </w:pPr>
    <w:rPr>
      <w:rFonts w:ascii="Noto Sans Mono CJK JP Regular" w:hAnsi="Noto Sans Mono CJK JP Regular" w:cs="Noto Sans Mono CJK JP Regular"/>
      <w:kern w:val="0"/>
      <w:sz w:val="22"/>
      <w:szCs w:val="22"/>
      <w:lang w:val="zh-CN"/>
    </w:rPr>
  </w:style>
  <w:style w:type="table" w:customStyle="1" w:styleId="121">
    <w:name w:val="网格型1"/>
    <w:basedOn w:val="3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2"/>
    <w:basedOn w:val="3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3"/>
    <w:basedOn w:val="3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网格型4"/>
    <w:basedOn w:val="3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5">
    <w:name w:val="日期 Char"/>
    <w:basedOn w:val="36"/>
    <w:link w:val="24"/>
    <w:semiHidden/>
    <w:qFormat/>
    <w:uiPriority w:val="99"/>
  </w:style>
  <w:style w:type="paragraph" w:customStyle="1" w:styleId="126">
    <w:name w:val="p0"/>
    <w:basedOn w:val="1"/>
    <w:qFormat/>
    <w:uiPriority w:val="99"/>
    <w:pPr>
      <w:widowControl/>
    </w:pPr>
    <w:rPr>
      <w:rFonts w:hint="eastAsia" w:ascii="宋体"/>
      <w:kern w:val="0"/>
      <w:szCs w:val="28"/>
    </w:rPr>
  </w:style>
  <w:style w:type="paragraph" w:customStyle="1" w:styleId="127">
    <w:name w:val="纯文本1"/>
    <w:basedOn w:val="1"/>
    <w:qFormat/>
    <w:uiPriority w:val="0"/>
    <w:rPr>
      <w:rFonts w:ascii="宋体" w:hAnsi="Courier New"/>
    </w:rPr>
  </w:style>
  <w:style w:type="paragraph" w:customStyle="1" w:styleId="128">
    <w:name w:val="样式 标题 1 + 四号 居中 段前: 12 磅 段后: 12 磅 行距: 单倍行距"/>
    <w:basedOn w:val="7"/>
    <w:qFormat/>
    <w:uiPriority w:val="0"/>
    <w:pPr>
      <w:spacing w:before="240" w:after="240" w:line="240" w:lineRule="auto"/>
    </w:pPr>
    <w:rPr>
      <w:rFonts w:eastAsia="宋体" w:cs="宋体"/>
      <w:sz w:val="28"/>
      <w:szCs w:val="20"/>
    </w:rPr>
  </w:style>
  <w:style w:type="character" w:customStyle="1" w:styleId="129">
    <w:name w:val="正文文本 3 Char"/>
    <w:link w:val="20"/>
    <w:qFormat/>
    <w:uiPriority w:val="0"/>
    <w:rPr>
      <w:sz w:val="16"/>
      <w:szCs w:val="16"/>
    </w:rPr>
  </w:style>
  <w:style w:type="character" w:customStyle="1" w:styleId="130">
    <w:name w:val="font81"/>
    <w:qFormat/>
    <w:uiPriority w:val="0"/>
    <w:rPr>
      <w:rFonts w:hint="eastAsia" w:ascii="宋体" w:hAnsi="宋体" w:eastAsia="宋体" w:cs="宋体"/>
      <w:color w:val="000000"/>
      <w:sz w:val="20"/>
      <w:szCs w:val="20"/>
      <w:u w:val="none"/>
    </w:rPr>
  </w:style>
  <w:style w:type="character" w:customStyle="1" w:styleId="131">
    <w:name w:val="默认段落字体1"/>
    <w:qFormat/>
    <w:uiPriority w:val="0"/>
  </w:style>
  <w:style w:type="character" w:customStyle="1" w:styleId="132">
    <w:name w:val="批注主题 Char"/>
    <w:link w:val="33"/>
    <w:qFormat/>
    <w:uiPriority w:val="99"/>
    <w:rPr>
      <w:rFonts w:ascii="Calibri" w:hAnsi="Calibri" w:eastAsia="宋体" w:cs="Times New Roman"/>
      <w:b/>
      <w:bCs/>
    </w:rPr>
  </w:style>
  <w:style w:type="character" w:customStyle="1" w:styleId="133">
    <w:name w:val="num"/>
    <w:qFormat/>
    <w:uiPriority w:val="0"/>
    <w:rPr>
      <w:rFonts w:ascii="Times New Roman" w:hAnsi="Times New Roman" w:eastAsia="宋体" w:cs="Times New Roman"/>
      <w:b/>
      <w:color w:val="FF7800"/>
      <w:lang w:bidi="ar-SA"/>
    </w:rPr>
  </w:style>
  <w:style w:type="character" w:customStyle="1" w:styleId="134">
    <w:name w:val="time2"/>
    <w:qFormat/>
    <w:uiPriority w:val="0"/>
    <w:rPr>
      <w:color w:val="484848"/>
    </w:rPr>
  </w:style>
  <w:style w:type="character" w:customStyle="1" w:styleId="135">
    <w:name w:val="font61"/>
    <w:qFormat/>
    <w:uiPriority w:val="0"/>
    <w:rPr>
      <w:rFonts w:hint="eastAsia" w:ascii="宋体" w:hAnsi="宋体" w:eastAsia="宋体" w:cs="宋体"/>
      <w:color w:val="000000"/>
      <w:sz w:val="20"/>
      <w:szCs w:val="20"/>
      <w:u w:val="none"/>
    </w:rPr>
  </w:style>
  <w:style w:type="character" w:customStyle="1" w:styleId="136">
    <w:name w:val="font71"/>
    <w:qFormat/>
    <w:uiPriority w:val="0"/>
    <w:rPr>
      <w:rFonts w:hint="eastAsia" w:ascii="宋体" w:hAnsi="宋体" w:eastAsia="宋体" w:cs="宋体"/>
      <w:color w:val="000000"/>
      <w:sz w:val="20"/>
      <w:szCs w:val="20"/>
      <w:u w:val="none"/>
    </w:rPr>
  </w:style>
  <w:style w:type="character" w:customStyle="1" w:styleId="137">
    <w:name w:val="time"/>
    <w:qFormat/>
    <w:uiPriority w:val="0"/>
    <w:rPr>
      <w:color w:val="484848"/>
    </w:rPr>
  </w:style>
  <w:style w:type="character" w:customStyle="1" w:styleId="138">
    <w:name w:val="批注主题 Char1"/>
    <w:basedOn w:val="67"/>
    <w:semiHidden/>
    <w:qFormat/>
    <w:uiPriority w:val="99"/>
    <w:rPr>
      <w:rFonts w:ascii="Times New Roman" w:hAnsi="Times New Roman" w:eastAsia="宋体" w:cs="Times New Roman"/>
      <w:b/>
      <w:bCs/>
      <w:sz w:val="28"/>
      <w:szCs w:val="24"/>
    </w:rPr>
  </w:style>
  <w:style w:type="character" w:customStyle="1" w:styleId="139">
    <w:name w:val="正文文本 3 Char1"/>
    <w:basedOn w:val="36"/>
    <w:semiHidden/>
    <w:qFormat/>
    <w:uiPriority w:val="99"/>
    <w:rPr>
      <w:rFonts w:ascii="Times New Roman" w:hAnsi="Times New Roman" w:eastAsia="宋体" w:cs="Times New Roman"/>
      <w:sz w:val="16"/>
      <w:szCs w:val="16"/>
    </w:rPr>
  </w:style>
  <w:style w:type="paragraph" w:customStyle="1" w:styleId="140">
    <w:name w:val="正文字缩2字"/>
    <w:basedOn w:val="1"/>
    <w:qFormat/>
    <w:uiPriority w:val="0"/>
    <w:pPr>
      <w:spacing w:before="60" w:after="60"/>
      <w:ind w:left="200" w:leftChars="200"/>
    </w:pPr>
    <w:rPr>
      <w:rFonts w:ascii="Calibri" w:hAnsi="Calibri"/>
    </w:rPr>
  </w:style>
  <w:style w:type="paragraph" w:customStyle="1" w:styleId="141">
    <w:name w:val="列表段落1"/>
    <w:basedOn w:val="1"/>
    <w:unhideWhenUsed/>
    <w:qFormat/>
    <w:uiPriority w:val="0"/>
    <w:pPr>
      <w:ind w:firstLine="420"/>
    </w:pPr>
    <w:rPr>
      <w:rFonts w:ascii="Calibri" w:hAnsi="Calibri"/>
      <w:szCs w:val="22"/>
    </w:rPr>
  </w:style>
  <w:style w:type="paragraph" w:customStyle="1" w:styleId="142">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table" w:customStyle="1" w:styleId="143">
    <w:name w:val="网格型5"/>
    <w:basedOn w:val="3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
    <w:name w:val="修订1"/>
    <w:hidden/>
    <w:unhideWhenUsed/>
    <w:qFormat/>
    <w:uiPriority w:val="99"/>
    <w:rPr>
      <w:rFonts w:ascii="Calibri" w:hAnsi="Calibri" w:eastAsia="宋体" w:cs="Times New Roman"/>
      <w:kern w:val="2"/>
      <w:sz w:val="21"/>
      <w:szCs w:val="22"/>
      <w:lang w:val="en-US" w:eastAsia="zh-CN" w:bidi="ar-SA"/>
    </w:rPr>
  </w:style>
  <w:style w:type="table" w:customStyle="1" w:styleId="145">
    <w:name w:val="网格型6"/>
    <w:basedOn w:val="3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7"/>
    <w:basedOn w:val="3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7">
    <w:name w:val="无间隔 Char"/>
    <w:link w:val="148"/>
    <w:qFormat/>
    <w:uiPriority w:val="0"/>
    <w:rPr>
      <w:szCs w:val="24"/>
    </w:rPr>
  </w:style>
  <w:style w:type="paragraph" w:styleId="148">
    <w:name w:val="No Spacing"/>
    <w:link w:val="14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49">
    <w:name w:val="font01"/>
    <w:basedOn w:val="36"/>
    <w:qFormat/>
    <w:uiPriority w:val="0"/>
    <w:rPr>
      <w:rFonts w:hint="eastAsia" w:ascii="华文宋体" w:hAnsi="华文宋体" w:eastAsia="华文宋体" w:cs="华文宋体"/>
      <w:color w:val="000000"/>
      <w:sz w:val="20"/>
      <w:szCs w:val="20"/>
      <w:u w:val="none"/>
    </w:rPr>
  </w:style>
  <w:style w:type="paragraph" w:customStyle="1" w:styleId="150">
    <w:name w:val="表格图文"/>
    <w:basedOn w:val="1"/>
    <w:link w:val="151"/>
    <w:qFormat/>
    <w:uiPriority w:val="0"/>
    <w:pPr>
      <w:spacing w:line="240" w:lineRule="auto"/>
      <w:ind w:firstLine="0" w:firstLineChars="0"/>
    </w:pPr>
    <w:rPr>
      <w:rFonts w:cs="Times New Roman"/>
      <w:kern w:val="0"/>
      <w:sz w:val="24"/>
      <w:szCs w:val="20"/>
      <w:lang w:val="zh-CN"/>
    </w:rPr>
  </w:style>
  <w:style w:type="character" w:customStyle="1" w:styleId="151">
    <w:name w:val="表格图文 Char"/>
    <w:link w:val="150"/>
    <w:qFormat/>
    <w:uiPriority w:val="0"/>
    <w:rPr>
      <w:rFonts w:ascii="仿宋" w:hAnsi="仿宋" w:eastAsia="仿宋" w:cs="Times New Roman"/>
      <w:kern w:val="0"/>
      <w:sz w:val="24"/>
      <w:szCs w:val="20"/>
      <w:lang w:val="zh-CN" w:eastAsia="zh-CN"/>
    </w:rPr>
  </w:style>
  <w:style w:type="paragraph" w:customStyle="1" w:styleId="152">
    <w:name w:val="表格文字"/>
    <w:basedOn w:val="1"/>
    <w:link w:val="153"/>
    <w:qFormat/>
    <w:uiPriority w:val="0"/>
    <w:pPr>
      <w:ind w:firstLine="0" w:firstLineChars="0"/>
      <w:jc w:val="center"/>
    </w:pPr>
    <w:rPr>
      <w:rFonts w:cs="Times New Roman"/>
      <w:sz w:val="24"/>
      <w:szCs w:val="22"/>
      <w:lang w:val="zh-CN"/>
    </w:rPr>
  </w:style>
  <w:style w:type="character" w:customStyle="1" w:styleId="153">
    <w:name w:val="表格文字 Char"/>
    <w:link w:val="152"/>
    <w:qFormat/>
    <w:uiPriority w:val="0"/>
    <w:rPr>
      <w:rFonts w:ascii="仿宋" w:hAnsi="仿宋" w:eastAsia="仿宋" w:cs="Times New Roman"/>
      <w:sz w:val="24"/>
      <w:lang w:val="zh-CN" w:eastAsia="zh-CN"/>
    </w:rPr>
  </w:style>
  <w:style w:type="paragraph" w:customStyle="1" w:styleId="154">
    <w:name w:val="正文（缩进）"/>
    <w:basedOn w:val="1"/>
    <w:qFormat/>
    <w:uiPriority w:val="0"/>
    <w:pPr>
      <w:spacing w:before="156" w:beforeLines="50" w:after="156" w:afterLines="50"/>
      <w:ind w:firstLine="480"/>
      <w:jc w:val="both"/>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0E38B-E365-4D94-A8C0-27E142F8EA6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34</Pages>
  <Words>17747</Words>
  <Characters>18580</Characters>
  <Lines>204</Lines>
  <Paragraphs>57</Paragraphs>
  <TotalTime>102</TotalTime>
  <ScaleCrop>false</ScaleCrop>
  <LinksUpToDate>false</LinksUpToDate>
  <CharactersWithSpaces>19468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2022-06-27T07:32:00Z</dcterms:created>
  <dc:creator>wzg</dc:creator>
  <cp:lastModifiedBy>euteamo</cp:lastModifiedBy>
  <cp:lastPrinted>2022-10-31T02:57:00Z</cp:lastPrinted>
  <dcterms:modified xsi:type="dcterms:W3CDTF">2022-11-08T06:16:40Z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58C9E375C296402FAB403AF8F2C2B673</vt:lpwstr>
  </property>
</Properties>
</file>