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黄石市国有资产经营有限公司中介服务机构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管理办法（试行）</w:t>
      </w:r>
      <w:bookmarkStart w:id="0" w:name="_GoBack"/>
      <w:bookmarkEnd w:id="0"/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黑体" w:eastAsia="黑体" w:cs="黑体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shd w:val="clear" w:color="auto" w:fill="auto"/>
        <w:spacing w:after="0"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第一条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为规范黄石市国有资产经营有限公司（以下简称“国资公司”或“总公司”）招标代理、工程造价咨询等中介机构备选库的组建和使用管理，切实发挥中介机构的积极作用，根据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《招标投标法》《招标投标法实施条例》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《黄石市国有资产经营有限公司招标和采购管理办法（试行）》等有关规定，结合公司实际，特制定本办法。</w:t>
      </w:r>
    </w:p>
    <w:p>
      <w:pPr>
        <w:pStyle w:val="8"/>
        <w:shd w:val="clear" w:color="auto" w:fill="auto"/>
        <w:spacing w:after="0"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第二条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本办法所称的中介机构备选库，是指国资公司采取公开方式遴选的一批经有关部门批准、具有相应业务资质的社会中介机构组成中介机构备选库，允许其在一定期限内为国资公司提供招标代理、工程造价咨询、财务审计、资产评估等服务。</w:t>
      </w:r>
    </w:p>
    <w:p>
      <w:pPr>
        <w:pStyle w:val="8"/>
        <w:shd w:val="clear" w:color="auto" w:fill="auto"/>
        <w:spacing w:after="0"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本办法适用于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在服务期内为国资公司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及直管企业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提供招标代理、工程造价咨询、财务审计、资产评估等服务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的中介机构备选库的管理。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第四条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中介机构备选库入库实行资格准入制。国资公司按照国家有关法律法规及公司招标和采购管理办法，以公开、公正、公平的原则，选聘诚信度高、运作规范、实力强、工作经验丰富的中介机构为国资公司及直管企业提供中介服务。</w:t>
      </w:r>
    </w:p>
    <w:p>
      <w:pPr>
        <w:pStyle w:val="8"/>
        <w:shd w:val="clear" w:color="auto" w:fill="auto"/>
        <w:spacing w:after="0"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中介机构备选库根据工作需要原则上每两年更新一次。</w:t>
      </w:r>
    </w:p>
    <w:p>
      <w:pPr>
        <w:pStyle w:val="8"/>
        <w:shd w:val="clear" w:color="auto" w:fill="auto"/>
        <w:spacing w:after="0"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中介机构备选库入库单位需具备以下基本要求：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（一）具备独立法人资格，且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提供有效的营业执照；</w:t>
      </w:r>
    </w:p>
    <w:p>
      <w:pPr>
        <w:pStyle w:val="8"/>
        <w:shd w:val="clear" w:color="auto" w:fill="auto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有依法缴纳税收和社会保障资金记录；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（三）具有履行合同所必需的具有资质的专业技术人员和能力，具备相应资质和独立完成业务的营业场所、管理人员及办公设施；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（四）近三年内没有重大违法、违纪、违约行为；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（五）未被列入</w:t>
      </w:r>
      <w:r>
        <w:rPr>
          <w:rFonts w:hint="eastAsia" w:hAnsi="仿宋_GB2312"/>
          <w:color w:val="000000" w:themeColor="text1"/>
          <w14:textFill>
            <w14:solidFill>
              <w14:schemeClr w14:val="tx1"/>
            </w14:solidFill>
          </w14:textFill>
        </w:rPr>
        <w:t>“中国政府采购网”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政府采购严重违法失信行为记录名单；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其他相关要求。</w:t>
      </w:r>
    </w:p>
    <w:p>
      <w:pPr>
        <w:pStyle w:val="12"/>
        <w:spacing w:beforeLines="0" w:afterLines="0" w:line="560" w:lineRule="exact"/>
        <w:ind w:firstLine="643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  各直管企业（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部室）是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聘中介机构服务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监督主体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中介机构服务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工作存在问题的应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及时反馈至总公司招标办。</w:t>
      </w:r>
    </w:p>
    <w:p>
      <w:pPr>
        <w:pStyle w:val="12"/>
        <w:spacing w:beforeLines="0" w:afterLines="0" w:line="560" w:lineRule="exact"/>
        <w:ind w:firstLine="643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  中介机构服务过程中存在下列情形的，直管企业（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部室）采取书面形式向总公司招标办反馈：</w:t>
      </w:r>
    </w:p>
    <w:p>
      <w:pPr>
        <w:pStyle w:val="12"/>
        <w:spacing w:beforeLines="0" w:afterLines="0" w:line="560" w:lineRule="exact"/>
        <w:jc w:val="both"/>
        <w:rPr>
          <w:rFonts w:hint="default" w:hAnsi="仿宋_GB2312"/>
          <w:color w:val="000000" w:themeColor="text1"/>
          <w:kern w:val="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未按照约定时间及时进场或项目进展缓慢，需督促督办；</w:t>
      </w:r>
    </w:p>
    <w:p>
      <w:pPr>
        <w:pStyle w:val="12"/>
        <w:spacing w:beforeLines="0" w:afterLines="0" w:line="560" w:lineRule="exact"/>
        <w:jc w:val="both"/>
        <w:rPr>
          <w:rFonts w:hint="default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服务质量水平不高，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其出具的中介报告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或成果经审查存在非重大纰漏；</w:t>
      </w:r>
    </w:p>
    <w:p>
      <w:pPr>
        <w:pStyle w:val="12"/>
        <w:spacing w:beforeLines="0" w:afterLines="0" w:line="560" w:lineRule="exact"/>
        <w:jc w:val="both"/>
        <w:rPr>
          <w:rFonts w:hint="default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中介机构派出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工作人员与约定人员不一致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或部分工作人员专业能力不能胜任；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）其他不利于工作开展的情形。</w:t>
      </w:r>
    </w:p>
    <w:p>
      <w:pPr>
        <w:pStyle w:val="12"/>
        <w:spacing w:beforeLines="0" w:afterLines="0" w:line="560" w:lineRule="exact"/>
        <w:ind w:firstLine="643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第九条  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中介机构有下列情形之一的，经直管企业（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部室）书面形式反馈至总公司招标办并经招标办核实后作退库处理：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ab/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已不符合中介机构备选库入选条件的；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ab/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不能按时完成项目委托业务的，严重影响工作进展的；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ab/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执业水平、执业质量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较差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，其出具的中介执业报告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或成果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经审查有重大质量问题或与实际情况严重不符的；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ab/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工作失误或管理不善造成被服务单位或委托方国有资产重大损失的；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ab/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泄露在服务工作中接触、了解到的有关公司生产、经营、管理和对外联系中的商业秘密；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ab/>
      </w: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有弄虚作假、恶意串通等不诚信行为的;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（七）执行相关法律、法规和行业规章发生违规违纪行为，被有关相关主管部门通报批评或给予行政处罚；</w:t>
      </w:r>
    </w:p>
    <w:p>
      <w:pPr>
        <w:pStyle w:val="12"/>
        <w:spacing w:beforeLines="0" w:afterLines="0" w:line="56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  <w:t>（八）经认定确认为应予退库的其他情况。</w:t>
      </w:r>
    </w:p>
    <w:p>
      <w:pPr>
        <w:pStyle w:val="12"/>
        <w:spacing w:beforeLines="0" w:afterLines="0" w:line="520" w:lineRule="exact"/>
        <w:ind w:firstLine="643"/>
        <w:jc w:val="both"/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中介机构存在第八条、第九条所列情形的，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机关部室填写中介机构问题反馈表（详见附件1）直管企业填写中介机构问题反馈表（详见附件2）至国资公司招标办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spacing w:beforeLines="0" w:afterLines="0" w:line="520" w:lineRule="exact"/>
        <w:ind w:firstLine="643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各直管企业（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部室）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向总公司招标办反馈中介机构存在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所列情形的，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经核实后，对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被反馈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中介机构发出不合格通知，累计达到2次不合格情形的中介机构直接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退库处理。</w:t>
      </w:r>
    </w:p>
    <w:p>
      <w:pPr>
        <w:pStyle w:val="12"/>
        <w:spacing w:beforeLines="0" w:afterLines="0" w:line="520" w:lineRule="exact"/>
        <w:jc w:val="both"/>
        <w:rPr>
          <w:rFonts w:hAnsi="仿宋_GB2312"/>
          <w:color w:val="000000" w:themeColor="text1"/>
          <w:kern w:val="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各直管企业（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部室）向总公司招标办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反馈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中介机构存在第九条所列情形的，经核实后，直接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退库处理。</w:t>
      </w:r>
    </w:p>
    <w:p>
      <w:pPr>
        <w:pStyle w:val="12"/>
        <w:spacing w:beforeLines="0" w:afterLines="0" w:line="560" w:lineRule="exact"/>
        <w:ind w:firstLine="643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 对于国资公司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出退库处理的中介机构，自发出退库通知书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之日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起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年内不得承接国资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系统内相关业务。  </w:t>
      </w:r>
    </w:p>
    <w:p>
      <w:pPr>
        <w:pStyle w:val="12"/>
        <w:spacing w:beforeLines="0" w:afterLines="0" w:line="560" w:lineRule="exact"/>
        <w:ind w:firstLine="643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  本办法由</w:t>
      </w:r>
      <w:r>
        <w:rPr>
          <w:rFonts w:hint="eastAsia" w:hAnsi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公司招标办负责解释。</w:t>
      </w:r>
    </w:p>
    <w:p>
      <w:pPr>
        <w:pStyle w:val="12"/>
        <w:spacing w:beforeLines="0" w:afterLines="0" w:line="560" w:lineRule="exact"/>
        <w:ind w:firstLine="643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  本办法自发布之日起生效。</w:t>
      </w:r>
    </w:p>
    <w:p>
      <w:pPr>
        <w:pStyle w:val="12"/>
        <w:spacing w:beforeLines="0" w:afterLines="0" w:line="560" w:lineRule="exact"/>
        <w:ind w:firstLine="0" w:firstLineChars="0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Lines="0" w:afterLines="0" w:line="560" w:lineRule="exact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附件1：国资公司中介机构问题反馈表（机关部室）</w:t>
      </w:r>
    </w:p>
    <w:p>
      <w:pPr>
        <w:pStyle w:val="12"/>
        <w:spacing w:beforeLines="0" w:afterLines="0" w:line="560" w:lineRule="exact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附件2：国资公司中介机构问题反馈表（直管企业）</w:t>
      </w:r>
    </w:p>
    <w:p>
      <w:pPr>
        <w:pStyle w:val="12"/>
        <w:spacing w:beforeLines="0" w:afterLines="0" w:line="560" w:lineRule="exact"/>
        <w:ind w:firstLine="0" w:firstLineChars="0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Lines="0" w:afterLines="0" w:line="560" w:lineRule="exact"/>
        <w:ind w:firstLine="0" w:firstLineChars="0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12"/>
        <w:wordWrap w:val="0"/>
        <w:spacing w:beforeLines="0" w:afterLines="0" w:line="560" w:lineRule="exact"/>
        <w:ind w:firstLine="0" w:firstLineChars="0"/>
        <w:jc w:val="right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黄石市国有资产经营有限公司  </w:t>
      </w:r>
    </w:p>
    <w:p>
      <w:pPr>
        <w:pStyle w:val="12"/>
        <w:wordWrap w:val="0"/>
        <w:spacing w:beforeLines="0" w:afterLines="0" w:line="560" w:lineRule="exact"/>
        <w:ind w:firstLine="0" w:firstLineChars="0"/>
        <w:jc w:val="right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月2</w:t>
      </w:r>
      <w:r>
        <w:rPr>
          <w:rFonts w:hint="eastAsia" w:hAnsi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日     </w:t>
      </w:r>
    </w:p>
    <w:p>
      <w:pPr>
        <w:pStyle w:val="12"/>
        <w:wordWrap w:val="0"/>
        <w:spacing w:beforeLines="0" w:afterLines="0" w:line="560" w:lineRule="exact"/>
        <w:ind w:firstLine="0" w:firstLineChars="0"/>
        <w:jc w:val="right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12"/>
        <w:wordWrap w:val="0"/>
        <w:spacing w:beforeLines="0" w:afterLines="0" w:line="560" w:lineRule="exact"/>
        <w:ind w:firstLine="0" w:firstLineChars="0"/>
        <w:jc w:val="right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2"/>
        <w:wordWrap w:val="0"/>
        <w:spacing w:beforeLines="0" w:afterLines="0" w:line="560" w:lineRule="exact"/>
        <w:ind w:firstLine="0" w:firstLineChars="0"/>
        <w:rPr>
          <w:rFonts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675"/>
        <w:gridCol w:w="165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w w:val="9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国资公司中介服务机构问题反馈表（机关部室）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4" w:type="dxa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4" w:type="dxa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3675" w:type="dxa"/>
          </w:tcPr>
          <w:p>
            <w:pPr>
              <w:pStyle w:val="12"/>
              <w:wordWrap w:val="0"/>
              <w:spacing w:beforeLines="0" w:afterLines="0" w:line="560" w:lineRule="exact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机构类别</w:t>
            </w:r>
          </w:p>
        </w:tc>
        <w:tc>
          <w:tcPr>
            <w:tcW w:w="1671" w:type="dxa"/>
          </w:tcPr>
          <w:p>
            <w:pPr>
              <w:pStyle w:val="12"/>
              <w:wordWrap w:val="0"/>
              <w:spacing w:beforeLines="0" w:afterLines="0" w:line="560" w:lineRule="exact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反馈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问题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部室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经办人：               负责人：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主办部室分管领导审核意见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招标办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核实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及意见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经办人：             负责人：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招标办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分管领导意见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pStyle w:val="12"/>
        <w:wordWrap w:val="0"/>
        <w:spacing w:beforeLines="0" w:afterLines="0" w:line="560" w:lineRule="exact"/>
        <w:ind w:firstLine="0" w:firstLineChars="0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12"/>
        <w:wordWrap w:val="0"/>
        <w:spacing w:beforeLines="0" w:afterLines="0" w:line="560" w:lineRule="exact"/>
        <w:ind w:firstLine="0" w:firstLineChars="0"/>
        <w:jc w:val="both"/>
        <w:rPr>
          <w:rFonts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仿宋_GB2312"/>
          <w:b/>
          <w:bCs/>
          <w:color w:val="000000" w:themeColor="text1"/>
          <w:kern w:val="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487"/>
        <w:gridCol w:w="155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w w:val="9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国资公司中介服务机构问题反馈表（直管企业）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4" w:type="dxa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4" w:type="dxa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3487" w:type="dxa"/>
          </w:tcPr>
          <w:p>
            <w:pPr>
              <w:pStyle w:val="12"/>
              <w:wordWrap w:val="0"/>
              <w:spacing w:beforeLines="0" w:afterLines="0" w:line="560" w:lineRule="exact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机构类别</w:t>
            </w:r>
          </w:p>
        </w:tc>
        <w:tc>
          <w:tcPr>
            <w:tcW w:w="1953" w:type="dxa"/>
          </w:tcPr>
          <w:p>
            <w:pPr>
              <w:pStyle w:val="12"/>
              <w:wordWrap w:val="0"/>
              <w:spacing w:beforeLines="0" w:afterLines="0" w:line="560" w:lineRule="exact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反馈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问题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主办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经办人：               负责人：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主办单位负责人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招标办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核实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及意见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经办人：              负责人：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524" w:type="dxa"/>
            <w:vAlign w:val="center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招标办</w:t>
            </w: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center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分管领导意见</w:t>
            </w:r>
          </w:p>
        </w:tc>
        <w:tc>
          <w:tcPr>
            <w:tcW w:w="6996" w:type="dxa"/>
            <w:gridSpan w:val="3"/>
          </w:tcPr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both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wordWrap w:val="0"/>
              <w:spacing w:beforeLines="0" w:afterLines="0" w:line="560" w:lineRule="exact"/>
              <w:ind w:firstLine="0" w:firstLineChars="0"/>
              <w:jc w:val="right"/>
              <w:rPr>
                <w:rFonts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pStyle w:val="12"/>
        <w:wordWrap w:val="0"/>
        <w:spacing w:beforeLines="0" w:afterLines="0" w:line="560" w:lineRule="exact"/>
        <w:ind w:firstLine="0" w:firstLineChars="0"/>
        <w:jc w:val="both"/>
        <w:rPr>
          <w:rFonts w:hAnsi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E1B85"/>
    <w:rsid w:val="00000A96"/>
    <w:rsid w:val="000A0CFE"/>
    <w:rsid w:val="00950C2A"/>
    <w:rsid w:val="00B72AD1"/>
    <w:rsid w:val="00CE15B1"/>
    <w:rsid w:val="00EA747A"/>
    <w:rsid w:val="00EB30EF"/>
    <w:rsid w:val="030E24B6"/>
    <w:rsid w:val="069D6E76"/>
    <w:rsid w:val="0AA924D8"/>
    <w:rsid w:val="0D600F13"/>
    <w:rsid w:val="1A0F0F9B"/>
    <w:rsid w:val="1A45554F"/>
    <w:rsid w:val="1DB91FA1"/>
    <w:rsid w:val="228F699B"/>
    <w:rsid w:val="250663A3"/>
    <w:rsid w:val="25C135D8"/>
    <w:rsid w:val="2A2A7CF8"/>
    <w:rsid w:val="2AFE1B85"/>
    <w:rsid w:val="384B7E8E"/>
    <w:rsid w:val="3F445DCE"/>
    <w:rsid w:val="3F4C15EA"/>
    <w:rsid w:val="40FF0AD2"/>
    <w:rsid w:val="42513211"/>
    <w:rsid w:val="42DB238F"/>
    <w:rsid w:val="49830188"/>
    <w:rsid w:val="4EEF4D7E"/>
    <w:rsid w:val="51E21E42"/>
    <w:rsid w:val="52FE5875"/>
    <w:rsid w:val="565D40A2"/>
    <w:rsid w:val="5CB15084"/>
    <w:rsid w:val="5EDD5969"/>
    <w:rsid w:val="669F1D62"/>
    <w:rsid w:val="68C7682D"/>
    <w:rsid w:val="6908727F"/>
    <w:rsid w:val="701B2E59"/>
    <w:rsid w:val="73A975E3"/>
    <w:rsid w:val="74AC2CC5"/>
    <w:rsid w:val="76921837"/>
    <w:rsid w:val="7DF07C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Body text|2"/>
    <w:basedOn w:val="1"/>
    <w:qFormat/>
    <w:uiPriority w:val="0"/>
    <w:pPr>
      <w:shd w:val="clear" w:color="auto" w:fill="FFFFFF"/>
      <w:spacing w:after="1020" w:line="300" w:lineRule="exact"/>
      <w:jc w:val="center"/>
    </w:pPr>
    <w:rPr>
      <w:rFonts w:ascii="PMingLiU" w:hAnsi="PMingLiU" w:eastAsia="PMingLiU" w:cs="PMingLiU"/>
      <w:sz w:val="30"/>
      <w:szCs w:val="30"/>
    </w:rPr>
  </w:style>
  <w:style w:type="character" w:customStyle="1" w:styleId="9">
    <w:name w:val="Body text|2 + 14 pt"/>
    <w:basedOn w:val="10"/>
    <w:semiHidden/>
    <w:unhideWhenUsed/>
    <w:qFormat/>
    <w:uiPriority w:val="0"/>
    <w:rPr>
      <w:color w:val="000000"/>
      <w:spacing w:val="0"/>
      <w:w w:val="100"/>
      <w:position w:val="0"/>
      <w:sz w:val="28"/>
      <w:szCs w:val="28"/>
      <w:lang w:val="zh-CN" w:eastAsia="zh-CN" w:bidi="zh-CN"/>
    </w:rPr>
  </w:style>
  <w:style w:type="character" w:customStyle="1" w:styleId="10">
    <w:name w:val="Body text|2_"/>
    <w:basedOn w:val="6"/>
    <w:link w:val="11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11">
    <w:name w:val="Body text|21"/>
    <w:basedOn w:val="1"/>
    <w:link w:val="10"/>
    <w:qFormat/>
    <w:uiPriority w:val="0"/>
    <w:pPr>
      <w:shd w:val="clear" w:color="auto" w:fill="FFFFFF"/>
      <w:spacing w:after="1540" w:line="300" w:lineRule="exact"/>
      <w:ind w:hanging="960"/>
      <w:jc w:val="center"/>
    </w:pPr>
    <w:rPr>
      <w:rFonts w:ascii="PMingLiU" w:hAnsi="PMingLiU" w:eastAsia="PMingLiU" w:cs="PMingLiU"/>
      <w:spacing w:val="30"/>
      <w:sz w:val="30"/>
      <w:szCs w:val="30"/>
    </w:rPr>
  </w:style>
  <w:style w:type="paragraph" w:customStyle="1" w:styleId="12">
    <w:name w:val="02.正文"/>
    <w:basedOn w:val="1"/>
    <w:qFormat/>
    <w:uiPriority w:val="0"/>
    <w:pPr>
      <w:widowControl/>
      <w:adjustRightInd w:val="0"/>
      <w:snapToGrid w:val="0"/>
      <w:spacing w:beforeLines="20" w:afterLines="20" w:line="276" w:lineRule="auto"/>
      <w:ind w:firstLine="640" w:firstLineChars="200"/>
      <w:jc w:val="left"/>
    </w:pPr>
    <w:rPr>
      <w:rFonts w:ascii="仿宋_GB2312" w:hAnsi="宋体" w:eastAsia="仿宋_GB2312" w:cs="仿宋_GB2312"/>
      <w:kern w:val="0"/>
      <w:sz w:val="32"/>
      <w:szCs w:val="32"/>
    </w:rPr>
  </w:style>
  <w:style w:type="paragraph" w:customStyle="1" w:styleId="13">
    <w:name w:val="Body text|3"/>
    <w:basedOn w:val="1"/>
    <w:link w:val="15"/>
    <w:qFormat/>
    <w:uiPriority w:val="0"/>
    <w:pPr>
      <w:shd w:val="clear" w:color="auto" w:fill="FFFFFF"/>
      <w:spacing w:line="562" w:lineRule="exact"/>
      <w:jc w:val="distribute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14">
    <w:name w:val="Body text|3 + Bold"/>
    <w:basedOn w:val="15"/>
    <w:semiHidden/>
    <w:unhideWhenUsed/>
    <w:qFormat/>
    <w:uiPriority w:val="0"/>
    <w:rPr>
      <w:b/>
      <w:bCs/>
      <w:color w:val="000000"/>
      <w:w w:val="100"/>
      <w:position w:val="0"/>
      <w:lang w:val="zh-CN" w:eastAsia="zh-CN" w:bidi="zh-CN"/>
    </w:rPr>
  </w:style>
  <w:style w:type="character" w:customStyle="1" w:styleId="15">
    <w:name w:val="Body text|3_"/>
    <w:basedOn w:val="6"/>
    <w:link w:val="13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16">
    <w:name w:val="Body text|2 + Bold"/>
    <w:basedOn w:val="10"/>
    <w:semiHidden/>
    <w:unhideWhenUsed/>
    <w:qFormat/>
    <w:uiPriority w:val="0"/>
    <w:rPr>
      <w:b/>
      <w:bCs/>
      <w:color w:val="00000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309</Words>
  <Characters>1764</Characters>
  <Lines>14</Lines>
  <Paragraphs>4</Paragraphs>
  <TotalTime>366</TotalTime>
  <ScaleCrop>false</ScaleCrop>
  <LinksUpToDate>false</LinksUpToDate>
  <CharactersWithSpaces>2069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2019-05-14T06:00:00Z</dcterms:created>
  <dc:creator>黄少华</dc:creator>
  <cp:lastModifiedBy>黄少华</cp:lastModifiedBy>
  <cp:lastPrinted>2019-08-28T07:23:00Z</cp:lastPrinted>
  <dcterms:modified xsi:type="dcterms:W3CDTF">2019-09-10T01:39:52Z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